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both"/>
        <w:rPr>
          <w:rFonts w:ascii="宋体" w:hAnsi="宋体"/>
        </w:rPr>
      </w:pPr>
      <w:bookmarkStart w:id="13" w:name="_GoBack"/>
      <w:bookmarkEnd w:id="13"/>
    </w:p>
    <w:p>
      <w:pPr>
        <w:jc w:val="both"/>
        <w:rPr>
          <w:rFonts w:ascii="宋体" w:hAnsi="宋体"/>
        </w:rPr>
      </w:pPr>
    </w:p>
    <w:p>
      <w:pPr>
        <w:jc w:val="both"/>
        <w:rPr>
          <w:rFonts w:ascii="宋体" w:hAnsi="宋体"/>
        </w:rPr>
      </w:pPr>
    </w:p>
    <w:p>
      <w:pPr>
        <w:jc w:val="both"/>
        <w:rPr>
          <w:rFonts w:ascii="宋体" w:hAnsi="宋体"/>
        </w:rPr>
      </w:pPr>
    </w:p>
    <w:p>
      <w:pPr>
        <w:jc w:val="both"/>
        <w:rPr>
          <w:rFonts w:ascii="宋体" w:hAnsi="宋体"/>
        </w:rPr>
      </w:pPr>
    </w:p>
    <w:p>
      <w:pPr>
        <w:tabs>
          <w:tab w:val="left" w:pos="709"/>
        </w:tabs>
        <w:jc w:val="both"/>
        <w:rPr>
          <w:rFonts w:ascii="宋体" w:hAnsi="宋体"/>
        </w:rPr>
      </w:pPr>
    </w:p>
    <w:p>
      <w:pPr>
        <w:jc w:val="both"/>
        <w:rPr>
          <w:rFonts w:ascii="宋体" w:hAnsi="宋体"/>
        </w:rPr>
      </w:pPr>
    </w:p>
    <w:p>
      <w:pPr>
        <w:jc w:val="center"/>
        <w:rPr>
          <w:rFonts w:ascii="宋体" w:hAnsi="宋体"/>
          <w:b/>
          <w:sz w:val="48"/>
          <w:szCs w:val="48"/>
        </w:rPr>
      </w:pPr>
      <w:r>
        <w:rPr>
          <w:rFonts w:ascii="宋体" w:hAnsi="宋体"/>
          <w:b/>
          <w:sz w:val="48"/>
          <w:szCs w:val="48"/>
          <w:highlight w:val="yellow"/>
        </w:rPr>
        <w:t>Xx</w:t>
      </w:r>
      <w:r>
        <w:rPr>
          <w:rFonts w:hint="eastAsia" w:ascii="宋体" w:hAnsi="宋体"/>
          <w:b/>
          <w:sz w:val="48"/>
          <w:szCs w:val="48"/>
          <w:highlight w:val="yellow"/>
        </w:rPr>
        <w:t>单位</w:t>
      </w:r>
    </w:p>
    <w:p>
      <w:pPr>
        <w:jc w:val="center"/>
        <w:rPr>
          <w:rFonts w:ascii="宋体" w:hAnsi="宋体"/>
          <w:b/>
          <w:sz w:val="48"/>
          <w:szCs w:val="48"/>
        </w:rPr>
      </w:pPr>
      <w:r>
        <w:rPr>
          <w:rFonts w:hint="eastAsia" w:ascii="宋体" w:hAnsi="宋体"/>
          <w:b/>
          <w:sz w:val="48"/>
          <w:szCs w:val="48"/>
        </w:rPr>
        <w:t>内部控制风险评估报告</w:t>
      </w:r>
    </w:p>
    <w:p>
      <w:pPr>
        <w:jc w:val="both"/>
        <w:rPr>
          <w:rFonts w:ascii="宋体" w:hAnsi="宋体"/>
          <w:b/>
          <w:sz w:val="48"/>
          <w:szCs w:val="48"/>
        </w:rPr>
      </w:pPr>
    </w:p>
    <w:p>
      <w:pPr>
        <w:jc w:val="both"/>
        <w:rPr>
          <w:rFonts w:ascii="宋体" w:hAnsi="宋体"/>
          <w:b/>
          <w:sz w:val="48"/>
          <w:szCs w:val="48"/>
        </w:rPr>
      </w:pPr>
    </w:p>
    <w:p>
      <w:pPr>
        <w:jc w:val="both"/>
        <w:rPr>
          <w:rFonts w:ascii="宋体" w:hAnsi="宋体"/>
          <w:b/>
          <w:sz w:val="44"/>
          <w:szCs w:val="44"/>
        </w:rPr>
      </w:pPr>
    </w:p>
    <w:p>
      <w:pPr>
        <w:jc w:val="both"/>
        <w:rPr>
          <w:rFonts w:ascii="宋体" w:hAnsi="宋体"/>
          <w:b/>
          <w:sz w:val="44"/>
          <w:szCs w:val="44"/>
        </w:rPr>
      </w:pPr>
    </w:p>
    <w:p>
      <w:pPr>
        <w:jc w:val="both"/>
        <w:rPr>
          <w:rFonts w:ascii="宋体" w:hAnsi="宋体"/>
          <w:b/>
          <w:sz w:val="44"/>
          <w:szCs w:val="44"/>
        </w:rPr>
      </w:pPr>
    </w:p>
    <w:p>
      <w:pPr>
        <w:jc w:val="both"/>
        <w:rPr>
          <w:rFonts w:ascii="宋体" w:hAnsi="宋体"/>
          <w:b/>
          <w:sz w:val="44"/>
          <w:szCs w:val="44"/>
        </w:rPr>
      </w:pPr>
    </w:p>
    <w:p>
      <w:pPr>
        <w:jc w:val="both"/>
        <w:rPr>
          <w:rFonts w:ascii="宋体" w:hAnsi="宋体"/>
          <w:b/>
          <w:sz w:val="44"/>
          <w:szCs w:val="44"/>
        </w:rPr>
      </w:pPr>
    </w:p>
    <w:p>
      <w:pPr>
        <w:ind w:firstLine="1307" w:firstLineChars="407"/>
        <w:jc w:val="both"/>
        <w:rPr>
          <w:rFonts w:ascii="宋体" w:hAnsi="宋体"/>
          <w:b/>
          <w:sz w:val="32"/>
          <w:szCs w:val="32"/>
        </w:rPr>
      </w:pPr>
    </w:p>
    <w:p>
      <w:pPr>
        <w:jc w:val="center"/>
        <w:rPr>
          <w:rFonts w:ascii="宋体" w:hAnsi="宋体"/>
          <w:b/>
          <w:sz w:val="32"/>
          <w:szCs w:val="32"/>
        </w:rPr>
      </w:pPr>
      <w:r>
        <w:rPr>
          <w:rFonts w:ascii="宋体" w:hAnsi="宋体"/>
          <w:b/>
          <w:sz w:val="32"/>
          <w:szCs w:val="32"/>
        </w:rPr>
        <w:br w:type="page"/>
      </w:r>
    </w:p>
    <w:p>
      <w:pPr>
        <w:jc w:val="both"/>
        <w:rPr>
          <w:rFonts w:ascii="宋体" w:hAnsi="宋体"/>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81" w:charSpace="0"/>
        </w:sectPr>
      </w:pPr>
    </w:p>
    <w:sdt>
      <w:sdtPr>
        <w:rPr>
          <w:rFonts w:ascii="宋体" w:hAnsi="宋体" w:eastAsia="宋体" w:cs="Times New Roman"/>
          <w:color w:val="auto"/>
          <w:kern w:val="21"/>
          <w:sz w:val="28"/>
          <w:szCs w:val="24"/>
          <w:lang w:val="zh-CN"/>
        </w:rPr>
        <w:id w:val="-22876712"/>
      </w:sdtPr>
      <w:sdtEndPr>
        <w:rPr>
          <w:rFonts w:ascii="宋体" w:hAnsi="宋体" w:eastAsia="宋体" w:cs="Times New Roman"/>
          <w:b/>
          <w:bCs/>
          <w:color w:val="auto"/>
          <w:kern w:val="21"/>
          <w:sz w:val="28"/>
          <w:szCs w:val="24"/>
          <w:lang w:val="zh-CN"/>
        </w:rPr>
      </w:sdtEndPr>
      <w:sdtContent>
        <w:p>
          <w:pPr>
            <w:pStyle w:val="32"/>
            <w:spacing w:before="0" w:line="240" w:lineRule="atLeast"/>
            <w:rPr>
              <w:rFonts w:ascii="宋体" w:hAnsi="宋体" w:eastAsia="宋体"/>
              <w:color w:val="auto"/>
            </w:rPr>
          </w:pPr>
          <w:r>
            <w:rPr>
              <w:rFonts w:ascii="宋体" w:hAnsi="宋体" w:eastAsia="宋体"/>
              <w:color w:val="auto"/>
              <w:lang w:val="zh-CN"/>
            </w:rPr>
            <w:t>目录</w:t>
          </w:r>
        </w:p>
        <w:p>
          <w:pPr>
            <w:pStyle w:val="12"/>
            <w:tabs>
              <w:tab w:val="right" w:leader="dot" w:pos="8302"/>
            </w:tabs>
            <w:ind w:firstLine="640"/>
            <w:rPr>
              <w:rFonts w:asciiTheme="minorHAnsi" w:hAnsiTheme="minorHAnsi" w:eastAsiaTheme="minorEastAsia" w:cstheme="minorBidi"/>
              <w:kern w:val="2"/>
              <w:sz w:val="21"/>
              <w:szCs w:val="22"/>
            </w:rPr>
          </w:pPr>
          <w:r>
            <w:rPr>
              <w:rFonts w:ascii="宋体" w:hAnsi="宋体" w:eastAsia="宋体"/>
              <w:sz w:val="32"/>
            </w:rPr>
            <w:fldChar w:fldCharType="begin"/>
          </w:r>
          <w:r>
            <w:rPr>
              <w:rFonts w:ascii="宋体" w:hAnsi="宋体" w:eastAsia="宋体"/>
              <w:sz w:val="32"/>
            </w:rPr>
            <w:instrText xml:space="preserve"> TOC \o "1-3" \h \z \u </w:instrText>
          </w:r>
          <w:r>
            <w:rPr>
              <w:rFonts w:ascii="宋体" w:hAnsi="宋体" w:eastAsia="宋体"/>
              <w:sz w:val="32"/>
            </w:rPr>
            <w:fldChar w:fldCharType="separate"/>
          </w:r>
          <w:r>
            <w:fldChar w:fldCharType="begin"/>
          </w:r>
          <w:r>
            <w:instrText xml:space="preserve"> HYPERLINK \l "_Toc42953525" </w:instrText>
          </w:r>
          <w:r>
            <w:fldChar w:fldCharType="separate"/>
          </w:r>
          <w:r>
            <w:rPr>
              <w:rStyle w:val="22"/>
              <w:rFonts w:ascii="宋体" w:hAnsi="宋体" w:eastAsia="宋体"/>
            </w:rPr>
            <w:t>第一章 风险评估概述</w:t>
          </w:r>
          <w:r>
            <w:tab/>
          </w:r>
          <w:r>
            <w:fldChar w:fldCharType="begin"/>
          </w:r>
          <w:r>
            <w:instrText xml:space="preserve"> PAGEREF _Toc42953525 \h </w:instrText>
          </w:r>
          <w:r>
            <w:fldChar w:fldCharType="separate"/>
          </w:r>
          <w:r>
            <w:t>2</w:t>
          </w:r>
          <w:r>
            <w:fldChar w:fldCharType="end"/>
          </w:r>
          <w:r>
            <w:fldChar w:fldCharType="end"/>
          </w:r>
        </w:p>
        <w:p>
          <w:pPr>
            <w:pStyle w:val="14"/>
            <w:tabs>
              <w:tab w:val="right" w:leader="dot" w:pos="8302"/>
            </w:tabs>
            <w:ind w:left="480"/>
            <w:rPr>
              <w:rFonts w:asciiTheme="minorHAnsi" w:hAnsiTheme="minorHAnsi" w:eastAsiaTheme="minorEastAsia" w:cstheme="minorBidi"/>
              <w:kern w:val="2"/>
              <w:sz w:val="21"/>
              <w:szCs w:val="22"/>
            </w:rPr>
          </w:pPr>
          <w:r>
            <w:fldChar w:fldCharType="begin"/>
          </w:r>
          <w:r>
            <w:instrText xml:space="preserve"> HYPERLINK \l "_Toc42953526" </w:instrText>
          </w:r>
          <w:r>
            <w:fldChar w:fldCharType="separate"/>
          </w:r>
          <w:r>
            <w:rPr>
              <w:rStyle w:val="22"/>
              <w:rFonts w:ascii="宋体" w:hAnsi="宋体" w:eastAsia="宋体"/>
            </w:rPr>
            <w:t>一、风险评估工作组织</w:t>
          </w:r>
          <w:r>
            <w:tab/>
          </w:r>
          <w:r>
            <w:fldChar w:fldCharType="begin"/>
          </w:r>
          <w:r>
            <w:instrText xml:space="preserve"> PAGEREF _Toc42953526 \h </w:instrText>
          </w:r>
          <w:r>
            <w:fldChar w:fldCharType="separate"/>
          </w:r>
          <w:r>
            <w:t>2</w:t>
          </w:r>
          <w:r>
            <w:fldChar w:fldCharType="end"/>
          </w:r>
          <w:r>
            <w:fldChar w:fldCharType="end"/>
          </w:r>
        </w:p>
        <w:p>
          <w:pPr>
            <w:pStyle w:val="14"/>
            <w:tabs>
              <w:tab w:val="right" w:leader="dot" w:pos="8302"/>
            </w:tabs>
            <w:ind w:left="480"/>
            <w:rPr>
              <w:rFonts w:asciiTheme="minorHAnsi" w:hAnsiTheme="minorHAnsi" w:eastAsiaTheme="minorEastAsia" w:cstheme="minorBidi"/>
              <w:kern w:val="2"/>
              <w:sz w:val="21"/>
              <w:szCs w:val="22"/>
            </w:rPr>
          </w:pPr>
          <w:r>
            <w:fldChar w:fldCharType="begin"/>
          </w:r>
          <w:r>
            <w:instrText xml:space="preserve"> HYPERLINK \l "_Toc42953527" </w:instrText>
          </w:r>
          <w:r>
            <w:fldChar w:fldCharType="separate"/>
          </w:r>
          <w:r>
            <w:rPr>
              <w:rStyle w:val="22"/>
              <w:rFonts w:ascii="宋体" w:hAnsi="宋体" w:eastAsia="宋体"/>
            </w:rPr>
            <w:t>二、风险评估范围</w:t>
          </w:r>
          <w:r>
            <w:tab/>
          </w:r>
          <w:r>
            <w:fldChar w:fldCharType="begin"/>
          </w:r>
          <w:r>
            <w:instrText xml:space="preserve"> PAGEREF _Toc42953527 \h </w:instrText>
          </w:r>
          <w:r>
            <w:fldChar w:fldCharType="separate"/>
          </w:r>
          <w:r>
            <w:t>2</w:t>
          </w:r>
          <w:r>
            <w:fldChar w:fldCharType="end"/>
          </w:r>
          <w:r>
            <w:fldChar w:fldCharType="end"/>
          </w:r>
        </w:p>
        <w:p>
          <w:pPr>
            <w:pStyle w:val="14"/>
            <w:tabs>
              <w:tab w:val="right" w:leader="dot" w:pos="8302"/>
            </w:tabs>
            <w:ind w:left="480"/>
            <w:rPr>
              <w:rFonts w:asciiTheme="minorHAnsi" w:hAnsiTheme="minorHAnsi" w:eastAsiaTheme="minorEastAsia" w:cstheme="minorBidi"/>
              <w:kern w:val="2"/>
              <w:sz w:val="21"/>
              <w:szCs w:val="22"/>
            </w:rPr>
          </w:pPr>
          <w:r>
            <w:fldChar w:fldCharType="begin"/>
          </w:r>
          <w:r>
            <w:instrText xml:space="preserve"> HYPERLINK \l "_Toc42953528" </w:instrText>
          </w:r>
          <w:r>
            <w:fldChar w:fldCharType="separate"/>
          </w:r>
          <w:r>
            <w:rPr>
              <w:rStyle w:val="22"/>
              <w:rFonts w:ascii="宋体" w:hAnsi="宋体" w:eastAsia="宋体"/>
            </w:rPr>
            <w:t>三、风险评估方法</w:t>
          </w:r>
          <w:r>
            <w:rPr>
              <w:rStyle w:val="22"/>
            </w:rPr>
            <w:t>和程序</w:t>
          </w:r>
          <w:r>
            <w:tab/>
          </w:r>
          <w:r>
            <w:fldChar w:fldCharType="begin"/>
          </w:r>
          <w:r>
            <w:instrText xml:space="preserve"> PAGEREF _Toc42953528 \h </w:instrText>
          </w:r>
          <w:r>
            <w:fldChar w:fldCharType="separate"/>
          </w:r>
          <w:r>
            <w:t>2</w:t>
          </w:r>
          <w:r>
            <w:fldChar w:fldCharType="end"/>
          </w:r>
          <w:r>
            <w:fldChar w:fldCharType="end"/>
          </w:r>
        </w:p>
        <w:p>
          <w:pPr>
            <w:pStyle w:val="12"/>
            <w:tabs>
              <w:tab w:val="right" w:leader="dot" w:pos="8302"/>
            </w:tabs>
            <w:rPr>
              <w:rFonts w:asciiTheme="minorHAnsi" w:hAnsiTheme="minorHAnsi" w:eastAsiaTheme="minorEastAsia" w:cstheme="minorBidi"/>
              <w:kern w:val="2"/>
              <w:sz w:val="21"/>
              <w:szCs w:val="22"/>
            </w:rPr>
          </w:pPr>
          <w:r>
            <w:fldChar w:fldCharType="begin"/>
          </w:r>
          <w:r>
            <w:instrText xml:space="preserve"> HYPERLINK \l "_Toc42953529" </w:instrText>
          </w:r>
          <w:r>
            <w:fldChar w:fldCharType="separate"/>
          </w:r>
          <w:r>
            <w:rPr>
              <w:rStyle w:val="22"/>
              <w:rFonts w:ascii="宋体" w:hAnsi="宋体" w:eastAsia="宋体"/>
            </w:rPr>
            <w:t>第二章 风险评估结论及完善建议</w:t>
          </w:r>
          <w:r>
            <w:tab/>
          </w:r>
          <w:r>
            <w:fldChar w:fldCharType="begin"/>
          </w:r>
          <w:r>
            <w:instrText xml:space="preserve"> PAGEREF _Toc42953529 \h </w:instrText>
          </w:r>
          <w:r>
            <w:fldChar w:fldCharType="separate"/>
          </w:r>
          <w:r>
            <w:t>4</w:t>
          </w:r>
          <w:r>
            <w:fldChar w:fldCharType="end"/>
          </w:r>
          <w:r>
            <w:fldChar w:fldCharType="end"/>
          </w:r>
        </w:p>
        <w:p>
          <w:pPr>
            <w:pStyle w:val="14"/>
            <w:tabs>
              <w:tab w:val="right" w:leader="dot" w:pos="8302"/>
            </w:tabs>
            <w:ind w:left="480"/>
            <w:rPr>
              <w:rFonts w:asciiTheme="minorHAnsi" w:hAnsiTheme="minorHAnsi" w:eastAsiaTheme="minorEastAsia" w:cstheme="minorBidi"/>
              <w:kern w:val="2"/>
              <w:sz w:val="21"/>
              <w:szCs w:val="22"/>
            </w:rPr>
          </w:pPr>
          <w:r>
            <w:fldChar w:fldCharType="begin"/>
          </w:r>
          <w:r>
            <w:instrText xml:space="preserve"> HYPERLINK \l "_Toc42953530" </w:instrText>
          </w:r>
          <w:r>
            <w:fldChar w:fldCharType="separate"/>
          </w:r>
          <w:r>
            <w:rPr>
              <w:rStyle w:val="22"/>
              <w:rFonts w:ascii="宋体" w:hAnsi="宋体" w:eastAsia="宋体"/>
            </w:rPr>
            <w:t>一、单位层面</w:t>
          </w:r>
          <w:r>
            <w:tab/>
          </w:r>
          <w:r>
            <w:fldChar w:fldCharType="begin"/>
          </w:r>
          <w:r>
            <w:instrText xml:space="preserve"> PAGEREF _Toc42953530 \h </w:instrText>
          </w:r>
          <w:r>
            <w:fldChar w:fldCharType="separate"/>
          </w:r>
          <w:r>
            <w:t>4</w:t>
          </w:r>
          <w:r>
            <w:fldChar w:fldCharType="end"/>
          </w:r>
          <w:r>
            <w:fldChar w:fldCharType="end"/>
          </w:r>
        </w:p>
        <w:p>
          <w:pPr>
            <w:pStyle w:val="14"/>
            <w:tabs>
              <w:tab w:val="right" w:leader="dot" w:pos="8302"/>
            </w:tabs>
            <w:ind w:left="480"/>
            <w:rPr>
              <w:rFonts w:asciiTheme="minorHAnsi" w:hAnsiTheme="minorHAnsi" w:eastAsiaTheme="minorEastAsia" w:cstheme="minorBidi"/>
              <w:kern w:val="2"/>
              <w:sz w:val="21"/>
              <w:szCs w:val="22"/>
            </w:rPr>
          </w:pPr>
          <w:r>
            <w:fldChar w:fldCharType="begin"/>
          </w:r>
          <w:r>
            <w:instrText xml:space="preserve"> HYPERLINK \l "_Toc42953531" </w:instrText>
          </w:r>
          <w:r>
            <w:fldChar w:fldCharType="separate"/>
          </w:r>
          <w:r>
            <w:rPr>
              <w:rStyle w:val="22"/>
              <w:rFonts w:ascii="宋体" w:hAnsi="宋体" w:eastAsia="宋体"/>
            </w:rPr>
            <w:t>二、业务层面</w:t>
          </w:r>
          <w:r>
            <w:tab/>
          </w:r>
          <w:r>
            <w:fldChar w:fldCharType="begin"/>
          </w:r>
          <w:r>
            <w:instrText xml:space="preserve"> PAGEREF _Toc42953531 \h </w:instrText>
          </w:r>
          <w:r>
            <w:fldChar w:fldCharType="separate"/>
          </w:r>
          <w:r>
            <w:t>5</w:t>
          </w:r>
          <w:r>
            <w:fldChar w:fldCharType="end"/>
          </w:r>
          <w:r>
            <w:fldChar w:fldCharType="end"/>
          </w:r>
        </w:p>
        <w:p>
          <w:pPr>
            <w:pStyle w:val="14"/>
            <w:tabs>
              <w:tab w:val="right" w:leader="dot" w:pos="8296"/>
            </w:tabs>
            <w:spacing w:before="312" w:beforeLines="100" w:after="312" w:afterLines="100" w:line="480" w:lineRule="auto"/>
            <w:ind w:left="480" w:firstLine="640"/>
            <w:jc w:val="both"/>
            <w:rPr>
              <w:rFonts w:ascii="宋体" w:hAnsi="宋体" w:eastAsia="宋体"/>
              <w:lang w:val="zh-CN"/>
            </w:rPr>
          </w:pPr>
          <w:r>
            <w:rPr>
              <w:rFonts w:ascii="宋体" w:hAnsi="宋体" w:eastAsia="宋体"/>
              <w:bCs/>
              <w:sz w:val="32"/>
              <w:lang w:val="zh-CN"/>
            </w:rPr>
            <w:fldChar w:fldCharType="end"/>
          </w:r>
        </w:p>
      </w:sdtContent>
    </w:sdt>
    <w:p>
      <w:pPr>
        <w:pStyle w:val="2"/>
        <w:tabs>
          <w:tab w:val="left" w:pos="709"/>
        </w:tabs>
        <w:jc w:val="both"/>
        <w:rPr>
          <w:rFonts w:ascii="宋体" w:hAnsi="宋体" w:eastAsia="宋体"/>
        </w:rPr>
        <w:sectPr>
          <w:headerReference r:id="rId9" w:type="default"/>
          <w:footerReference r:id="rId10" w:type="default"/>
          <w:pgSz w:w="11906" w:h="16838"/>
          <w:pgMar w:top="1440" w:right="1797" w:bottom="1440" w:left="1797" w:header="851" w:footer="992" w:gutter="0"/>
          <w:cols w:space="720" w:num="1"/>
          <w:docGrid w:type="lines" w:linePitch="312" w:charSpace="0"/>
        </w:sectPr>
      </w:pPr>
      <w:bookmarkStart w:id="0" w:name="_Toc448325343"/>
    </w:p>
    <w:p>
      <w:pPr>
        <w:pStyle w:val="2"/>
        <w:spacing w:before="0" w:after="0" w:line="360" w:lineRule="auto"/>
        <w:rPr>
          <w:rFonts w:ascii="宋体" w:hAnsi="宋体" w:eastAsia="宋体"/>
          <w:sz w:val="32"/>
          <w:szCs w:val="32"/>
        </w:rPr>
      </w:pPr>
      <w:bookmarkStart w:id="1" w:name="_Toc42953525"/>
      <w:r>
        <w:rPr>
          <w:rFonts w:ascii="宋体" w:hAnsi="宋体" w:eastAsia="宋体"/>
          <w:sz w:val="32"/>
          <w:szCs w:val="32"/>
        </w:rPr>
        <w:t xml:space="preserve">第一章 </w:t>
      </w:r>
      <w:r>
        <w:rPr>
          <w:rFonts w:hint="eastAsia" w:ascii="宋体" w:hAnsi="宋体" w:eastAsia="宋体"/>
          <w:sz w:val="32"/>
          <w:szCs w:val="32"/>
        </w:rPr>
        <w:t>风险评估概述</w:t>
      </w:r>
      <w:bookmarkEnd w:id="0"/>
      <w:bookmarkEnd w:id="1"/>
    </w:p>
    <w:p>
      <w:pPr>
        <w:pStyle w:val="3"/>
        <w:spacing w:before="0" w:after="0" w:line="360" w:lineRule="auto"/>
        <w:jc w:val="both"/>
        <w:rPr>
          <w:rFonts w:ascii="宋体" w:hAnsi="宋体" w:eastAsia="宋体"/>
          <w:sz w:val="28"/>
          <w:szCs w:val="28"/>
        </w:rPr>
      </w:pPr>
      <w:bookmarkStart w:id="2" w:name="_Toc42953526"/>
      <w:bookmarkStart w:id="3" w:name="_Toc448325344"/>
      <w:r>
        <w:rPr>
          <w:rFonts w:hint="eastAsia" w:ascii="宋体" w:hAnsi="宋体" w:eastAsia="宋体"/>
          <w:sz w:val="28"/>
          <w:szCs w:val="28"/>
        </w:rPr>
        <w:t>一、风险评估工作组织</w:t>
      </w:r>
      <w:bookmarkEnd w:id="2"/>
      <w:bookmarkEnd w:id="3"/>
    </w:p>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560" w:firstLineChars="200"/>
        <w:jc w:val="both"/>
        <w:rPr>
          <w:rFonts w:ascii="宋体" w:hAnsi="宋体" w:cs="仿宋"/>
          <w:bCs/>
          <w:sz w:val="28"/>
          <w:szCs w:val="28"/>
        </w:rPr>
      </w:pPr>
      <w:r>
        <w:rPr>
          <w:rFonts w:hint="eastAsia" w:ascii="宋体" w:hAnsi="宋体" w:cs="仿宋"/>
          <w:bCs/>
          <w:sz w:val="28"/>
          <w:szCs w:val="28"/>
        </w:rPr>
        <w:t>本</w:t>
      </w:r>
      <w:r>
        <w:rPr>
          <w:rFonts w:ascii="宋体" w:hAnsi="宋体" w:cs="仿宋"/>
          <w:bCs/>
          <w:sz w:val="28"/>
          <w:szCs w:val="28"/>
        </w:rPr>
        <w:t>次内控</w:t>
      </w:r>
      <w:r>
        <w:rPr>
          <w:rFonts w:hint="eastAsia" w:ascii="宋体" w:hAnsi="宋体" w:cs="仿宋"/>
          <w:bCs/>
          <w:sz w:val="28"/>
          <w:szCs w:val="28"/>
        </w:rPr>
        <w:t>评估</w:t>
      </w:r>
      <w:r>
        <w:rPr>
          <w:rFonts w:ascii="宋体" w:hAnsi="宋体" w:cs="仿宋"/>
          <w:bCs/>
          <w:sz w:val="28"/>
          <w:szCs w:val="28"/>
        </w:rPr>
        <w:t>工作</w:t>
      </w:r>
      <w:r>
        <w:rPr>
          <w:rFonts w:hint="eastAsia" w:ascii="宋体" w:hAnsi="宋体" w:cs="仿宋"/>
          <w:bCs/>
          <w:sz w:val="28"/>
          <w:szCs w:val="28"/>
        </w:rPr>
        <w:t>是</w:t>
      </w:r>
      <w:r>
        <w:rPr>
          <w:rFonts w:ascii="宋体" w:hAnsi="宋体" w:cs="仿宋"/>
          <w:bCs/>
          <w:sz w:val="28"/>
          <w:szCs w:val="28"/>
        </w:rPr>
        <w:t>在</w:t>
      </w:r>
      <w:r>
        <w:rPr>
          <w:rFonts w:hint="eastAsia" w:ascii="宋体" w:hAnsi="宋体" w:cs="仿宋"/>
          <w:bCs/>
          <w:sz w:val="28"/>
          <w:szCs w:val="28"/>
          <w:lang w:eastAsia="zh-CN"/>
        </w:rPr>
        <w:t>单位</w:t>
      </w:r>
      <w:r>
        <w:rPr>
          <w:rFonts w:hint="eastAsia" w:ascii="宋体" w:hAnsi="宋体" w:cs="仿宋"/>
          <w:bCs/>
          <w:sz w:val="28"/>
          <w:szCs w:val="28"/>
        </w:rPr>
        <w:t>内部控制工作小组领导下</w:t>
      </w:r>
      <w:r>
        <w:rPr>
          <w:rFonts w:ascii="宋体" w:hAnsi="宋体" w:cs="仿宋"/>
          <w:bCs/>
          <w:sz w:val="28"/>
          <w:szCs w:val="28"/>
        </w:rPr>
        <w:t>，</w:t>
      </w:r>
      <w:r>
        <w:rPr>
          <w:rFonts w:hint="eastAsia" w:ascii="宋体" w:hAnsi="宋体" w:cs="仿宋"/>
          <w:bCs/>
          <w:sz w:val="28"/>
          <w:szCs w:val="28"/>
        </w:rPr>
        <w:t>经办人员在第三方机构协助下实施开展</w:t>
      </w:r>
      <w:r>
        <w:rPr>
          <w:rFonts w:ascii="宋体" w:hAnsi="宋体" w:cs="仿宋"/>
          <w:bCs/>
          <w:sz w:val="28"/>
          <w:szCs w:val="28"/>
        </w:rPr>
        <w:t>。</w:t>
      </w:r>
    </w:p>
    <w:p>
      <w:pPr>
        <w:pStyle w:val="3"/>
        <w:spacing w:before="0" w:after="0" w:line="360" w:lineRule="auto"/>
        <w:jc w:val="both"/>
        <w:rPr>
          <w:rFonts w:ascii="宋体" w:hAnsi="宋体" w:eastAsia="宋体"/>
          <w:sz w:val="28"/>
          <w:szCs w:val="28"/>
        </w:rPr>
      </w:pPr>
      <w:bookmarkStart w:id="4" w:name="_Toc42953527"/>
      <w:bookmarkStart w:id="5" w:name="_Toc339031905"/>
      <w:r>
        <w:rPr>
          <w:rFonts w:hint="eastAsia" w:ascii="宋体" w:hAnsi="宋体" w:eastAsia="宋体"/>
          <w:sz w:val="28"/>
          <w:szCs w:val="28"/>
        </w:rPr>
        <w:t>二、风险评估范围</w:t>
      </w:r>
      <w:bookmarkEnd w:id="4"/>
      <w:bookmarkEnd w:id="5"/>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依据《行政事业单位内部控制规范（试行）》的相关规定，本次对</w:t>
      </w:r>
      <w:r>
        <w:rPr>
          <w:rFonts w:hint="eastAsia" w:ascii="宋体" w:hAnsi="宋体" w:cs="仿宋"/>
          <w:bCs/>
          <w:sz w:val="28"/>
          <w:szCs w:val="28"/>
          <w:lang w:eastAsia="zh-CN"/>
        </w:rPr>
        <w:t>单位</w:t>
      </w:r>
      <w:r>
        <w:rPr>
          <w:rFonts w:hint="eastAsia" w:ascii="宋体" w:hAnsi="宋体" w:cs="仿宋"/>
          <w:bCs/>
          <w:sz w:val="28"/>
          <w:szCs w:val="28"/>
        </w:rPr>
        <w:t>预算管理、收支管理、政府采购管理、资产管理、项目管理、合同管理六项经济活动以及单位层面进行内控管理风险评估。</w:t>
      </w:r>
    </w:p>
    <w:p>
      <w:pPr>
        <w:pStyle w:val="3"/>
        <w:spacing w:before="0" w:after="0" w:line="360" w:lineRule="auto"/>
        <w:jc w:val="both"/>
        <w:rPr>
          <w:sz w:val="28"/>
          <w:szCs w:val="28"/>
        </w:rPr>
      </w:pPr>
      <w:bookmarkStart w:id="6" w:name="_Toc448325346"/>
      <w:bookmarkStart w:id="7" w:name="_Toc42953528"/>
      <w:r>
        <w:rPr>
          <w:rFonts w:hint="eastAsia" w:ascii="宋体" w:hAnsi="宋体" w:eastAsia="宋体"/>
          <w:sz w:val="28"/>
          <w:szCs w:val="28"/>
        </w:rPr>
        <w:t>三、</w:t>
      </w:r>
      <w:bookmarkEnd w:id="6"/>
      <w:r>
        <w:rPr>
          <w:rFonts w:hint="eastAsia" w:ascii="宋体" w:hAnsi="宋体" w:eastAsia="宋体"/>
          <w:sz w:val="28"/>
          <w:szCs w:val="28"/>
        </w:rPr>
        <w:t>风险评估方法</w:t>
      </w:r>
      <w:r>
        <w:rPr>
          <w:rFonts w:hint="eastAsia"/>
          <w:sz w:val="28"/>
          <w:szCs w:val="28"/>
        </w:rPr>
        <w:t>和程序</w:t>
      </w:r>
      <w:bookmarkEnd w:id="7"/>
    </w:p>
    <w:p>
      <w:pPr>
        <w:spacing w:line="360" w:lineRule="auto"/>
        <w:jc w:val="both"/>
        <w:rPr>
          <w:rFonts w:ascii="宋体" w:hAnsi="宋体"/>
          <w:sz w:val="28"/>
          <w:szCs w:val="28"/>
        </w:rPr>
      </w:pPr>
      <w:r>
        <w:rPr>
          <w:rFonts w:hint="eastAsia" w:ascii="宋体" w:hAnsi="宋体"/>
          <w:sz w:val="28"/>
          <w:szCs w:val="28"/>
        </w:rPr>
        <w:t>（一）风险评估方法</w:t>
      </w:r>
    </w:p>
    <w:p>
      <w:pPr>
        <w:spacing w:line="360" w:lineRule="auto"/>
        <w:ind w:firstLine="560" w:firstLineChars="200"/>
        <w:jc w:val="both"/>
        <w:rPr>
          <w:rFonts w:ascii="宋体" w:hAnsi="宋体"/>
          <w:sz w:val="28"/>
          <w:szCs w:val="28"/>
        </w:rPr>
      </w:pPr>
      <w:r>
        <w:rPr>
          <w:rFonts w:ascii="宋体" w:hAnsi="宋体"/>
          <w:sz w:val="28"/>
          <w:szCs w:val="28"/>
        </w:rPr>
        <w:t>1.</w:t>
      </w:r>
      <w:r>
        <w:rPr>
          <w:rFonts w:hint="eastAsia" w:ascii="宋体" w:hAnsi="宋体"/>
          <w:sz w:val="28"/>
          <w:szCs w:val="28"/>
        </w:rPr>
        <w:t>资料分析法</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搜集内部管理制度、业务流程及相关资料，根据不同业务领域进行归类整理，分析比对单位内部文件的完整性。</w:t>
      </w:r>
    </w:p>
    <w:p>
      <w:pPr>
        <w:spacing w:line="360" w:lineRule="auto"/>
        <w:ind w:firstLine="560" w:firstLineChars="200"/>
        <w:jc w:val="both"/>
        <w:rPr>
          <w:rFonts w:ascii="宋体" w:hAnsi="宋体"/>
          <w:sz w:val="28"/>
          <w:szCs w:val="28"/>
        </w:rPr>
      </w:pPr>
      <w:r>
        <w:rPr>
          <w:rFonts w:ascii="宋体" w:hAnsi="宋体"/>
          <w:sz w:val="28"/>
          <w:szCs w:val="28"/>
        </w:rPr>
        <w:t>2.</w:t>
      </w:r>
      <w:r>
        <w:rPr>
          <w:rFonts w:hint="eastAsia" w:ascii="宋体" w:hAnsi="宋体"/>
          <w:sz w:val="28"/>
          <w:szCs w:val="28"/>
        </w:rPr>
        <w:t>标杆法</w:t>
      </w:r>
    </w:p>
    <w:p>
      <w:pPr>
        <w:spacing w:line="360" w:lineRule="auto"/>
        <w:ind w:firstLine="560" w:firstLineChars="200"/>
        <w:jc w:val="both"/>
        <w:rPr>
          <w:rFonts w:ascii="宋体" w:hAnsi="宋体" w:cs="仿宋"/>
          <w:bCs/>
          <w:sz w:val="28"/>
          <w:szCs w:val="28"/>
        </w:rPr>
      </w:pPr>
      <w:r>
        <w:rPr>
          <w:rFonts w:ascii="宋体" w:hAnsi="宋体" w:cs="仿宋"/>
          <w:bCs/>
          <w:sz w:val="28"/>
          <w:szCs w:val="28"/>
        </w:rPr>
        <w:t>与各业务领域国家法律法规</w:t>
      </w:r>
      <w:r>
        <w:rPr>
          <w:rFonts w:hint="eastAsia" w:ascii="宋体" w:hAnsi="宋体" w:cs="仿宋"/>
          <w:bCs/>
          <w:sz w:val="28"/>
          <w:szCs w:val="28"/>
        </w:rPr>
        <w:t>、</w:t>
      </w:r>
      <w:r>
        <w:rPr>
          <w:rFonts w:ascii="宋体" w:hAnsi="宋体" w:cs="仿宋"/>
          <w:bCs/>
          <w:sz w:val="28"/>
          <w:szCs w:val="28"/>
        </w:rPr>
        <w:t>部门规章制度</w:t>
      </w:r>
      <w:r>
        <w:rPr>
          <w:rFonts w:hint="eastAsia" w:ascii="宋体" w:hAnsi="宋体" w:cs="仿宋"/>
          <w:bCs/>
          <w:sz w:val="28"/>
          <w:szCs w:val="28"/>
        </w:rPr>
        <w:t>，地方</w:t>
      </w:r>
      <w:r>
        <w:rPr>
          <w:rFonts w:ascii="宋体" w:hAnsi="宋体" w:cs="仿宋"/>
          <w:bCs/>
          <w:sz w:val="28"/>
          <w:szCs w:val="28"/>
        </w:rPr>
        <w:t>管理要求</w:t>
      </w:r>
      <w:r>
        <w:rPr>
          <w:rFonts w:hint="eastAsia" w:ascii="宋体" w:hAnsi="宋体" w:cs="仿宋"/>
          <w:bCs/>
          <w:sz w:val="28"/>
          <w:szCs w:val="28"/>
        </w:rPr>
        <w:t>等</w:t>
      </w:r>
      <w:r>
        <w:rPr>
          <w:rFonts w:ascii="宋体" w:hAnsi="宋体" w:cs="仿宋"/>
          <w:bCs/>
          <w:sz w:val="28"/>
          <w:szCs w:val="28"/>
        </w:rPr>
        <w:t>进行比较</w:t>
      </w:r>
      <w:r>
        <w:rPr>
          <w:rFonts w:hint="eastAsia" w:ascii="宋体" w:hAnsi="宋体" w:cs="仿宋"/>
          <w:bCs/>
          <w:sz w:val="28"/>
          <w:szCs w:val="28"/>
        </w:rPr>
        <w:t>，</w:t>
      </w:r>
      <w:r>
        <w:rPr>
          <w:rFonts w:ascii="宋体" w:hAnsi="宋体" w:cs="仿宋"/>
          <w:bCs/>
          <w:sz w:val="28"/>
          <w:szCs w:val="28"/>
        </w:rPr>
        <w:t>对内部控制体系的</w:t>
      </w:r>
      <w:r>
        <w:rPr>
          <w:rFonts w:hint="eastAsia" w:ascii="宋体" w:hAnsi="宋体" w:cs="仿宋"/>
          <w:bCs/>
          <w:sz w:val="28"/>
          <w:szCs w:val="28"/>
        </w:rPr>
        <w:t>建设的完善</w:t>
      </w:r>
      <w:r>
        <w:rPr>
          <w:rFonts w:ascii="宋体" w:hAnsi="宋体" w:cs="仿宋"/>
          <w:bCs/>
          <w:sz w:val="28"/>
          <w:szCs w:val="28"/>
        </w:rPr>
        <w:t>情况进行</w:t>
      </w:r>
      <w:r>
        <w:rPr>
          <w:rFonts w:hint="eastAsia" w:ascii="宋体" w:hAnsi="宋体" w:cs="仿宋"/>
          <w:bCs/>
          <w:sz w:val="28"/>
          <w:szCs w:val="28"/>
        </w:rPr>
        <w:t>分析。</w:t>
      </w:r>
    </w:p>
    <w:p>
      <w:pPr>
        <w:spacing w:line="360" w:lineRule="auto"/>
        <w:ind w:firstLine="560" w:firstLineChars="200"/>
        <w:jc w:val="both"/>
        <w:rPr>
          <w:rFonts w:ascii="宋体" w:hAnsi="宋体"/>
          <w:sz w:val="28"/>
          <w:szCs w:val="28"/>
        </w:rPr>
      </w:pPr>
      <w:r>
        <w:rPr>
          <w:rFonts w:ascii="宋体" w:hAnsi="宋体"/>
          <w:sz w:val="28"/>
          <w:szCs w:val="28"/>
        </w:rPr>
        <w:t>3.</w:t>
      </w:r>
      <w:r>
        <w:rPr>
          <w:rFonts w:hint="eastAsia" w:ascii="宋体" w:hAnsi="宋体"/>
          <w:sz w:val="28"/>
          <w:szCs w:val="28"/>
        </w:rPr>
        <w:t>专题讨论法</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通过召集与业务流程相关的管理人员就业务流程的相关问题进行讨论。</w:t>
      </w:r>
    </w:p>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548" w:firstLineChars="196"/>
        <w:jc w:val="both"/>
        <w:rPr>
          <w:rFonts w:ascii="宋体" w:hAnsi="宋体" w:cs="仿宋"/>
          <w:bCs/>
          <w:sz w:val="28"/>
          <w:szCs w:val="28"/>
        </w:rPr>
      </w:pPr>
      <w:r>
        <w:rPr>
          <w:rFonts w:hint="eastAsia" w:ascii="宋体" w:hAnsi="宋体" w:cs="仿宋"/>
          <w:bCs/>
          <w:sz w:val="28"/>
          <w:szCs w:val="28"/>
        </w:rPr>
        <w:t>（</w:t>
      </w:r>
      <w:r>
        <w:rPr>
          <w:rFonts w:ascii="宋体" w:hAnsi="宋体" w:cs="仿宋"/>
          <w:bCs/>
          <w:sz w:val="28"/>
          <w:szCs w:val="28"/>
        </w:rPr>
        <w:t>4</w:t>
      </w:r>
      <w:r>
        <w:rPr>
          <w:rFonts w:hint="eastAsia" w:ascii="宋体" w:hAnsi="宋体" w:cs="仿宋"/>
          <w:bCs/>
          <w:sz w:val="28"/>
          <w:szCs w:val="28"/>
        </w:rPr>
        <w:t>）抽样法</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从单位佐证材料中抽取一定有代表性的样本进行调查和测试，根据样本来推断总体状况。</w:t>
      </w:r>
    </w:p>
    <w:p>
      <w:pPr>
        <w:spacing w:line="360" w:lineRule="auto"/>
        <w:jc w:val="both"/>
        <w:rPr>
          <w:rFonts w:ascii="宋体" w:hAnsi="宋体"/>
          <w:sz w:val="28"/>
          <w:szCs w:val="28"/>
        </w:rPr>
      </w:pPr>
      <w:r>
        <w:rPr>
          <w:rFonts w:hint="eastAsia" w:ascii="宋体" w:hAnsi="宋体"/>
          <w:sz w:val="28"/>
          <w:szCs w:val="28"/>
        </w:rPr>
        <w:t>（二）风险评估程序</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本次内控风险评估主要包括</w:t>
      </w:r>
      <w:r>
        <w:rPr>
          <w:rFonts w:ascii="宋体" w:hAnsi="宋体" w:cs="仿宋"/>
          <w:bCs/>
          <w:sz w:val="28"/>
          <w:szCs w:val="28"/>
        </w:rPr>
        <w:t>评估</w:t>
      </w:r>
      <w:r>
        <w:rPr>
          <w:rFonts w:hint="eastAsia" w:ascii="宋体" w:hAnsi="宋体" w:cs="仿宋"/>
          <w:bCs/>
          <w:sz w:val="28"/>
          <w:szCs w:val="28"/>
        </w:rPr>
        <w:t>准备、</w:t>
      </w:r>
      <w:r>
        <w:rPr>
          <w:rFonts w:ascii="宋体" w:hAnsi="宋体" w:cs="仿宋"/>
          <w:bCs/>
          <w:sz w:val="28"/>
          <w:szCs w:val="28"/>
        </w:rPr>
        <w:t>评估</w:t>
      </w:r>
      <w:r>
        <w:rPr>
          <w:rFonts w:hint="eastAsia" w:ascii="宋体" w:hAnsi="宋体" w:cs="仿宋"/>
          <w:bCs/>
          <w:sz w:val="28"/>
          <w:szCs w:val="28"/>
        </w:rPr>
        <w:t>实施和</w:t>
      </w:r>
      <w:r>
        <w:rPr>
          <w:rFonts w:ascii="宋体" w:hAnsi="宋体" w:cs="仿宋"/>
          <w:bCs/>
          <w:sz w:val="28"/>
          <w:szCs w:val="28"/>
        </w:rPr>
        <w:t>风险评估报告</w:t>
      </w:r>
      <w:r>
        <w:rPr>
          <w:rFonts w:hint="eastAsia" w:ascii="宋体" w:hAnsi="宋体" w:cs="仿宋"/>
          <w:bCs/>
          <w:sz w:val="28"/>
          <w:szCs w:val="28"/>
        </w:rPr>
        <w:t>拟制三个阶段。</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1、评估准备</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收集单位内部现行有效的内部管理制度、业务流程及相关资料。</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2、评估实施</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（1）现有制度、流程与六大模块的外部政策对标，找出单位层面与业务层面不合规的地方，制定解决措施；</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（2）单位审阅，如与单位实际情况不符则需提供有效内部依据进行再次确认。</w:t>
      </w:r>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3、评估报告拟制</w:t>
      </w:r>
    </w:p>
    <w:p>
      <w:pPr>
        <w:spacing w:line="360" w:lineRule="auto"/>
        <w:ind w:firstLine="560" w:firstLineChars="200"/>
        <w:jc w:val="both"/>
        <w:rPr>
          <w:rFonts w:ascii="宋体" w:hAnsi="宋体" w:cs="仿宋"/>
          <w:bCs/>
          <w:sz w:val="28"/>
          <w:szCs w:val="28"/>
        </w:rPr>
        <w:sectPr>
          <w:pgSz w:w="11906" w:h="16838"/>
          <w:pgMar w:top="1440" w:right="1797" w:bottom="1440" w:left="1797" w:header="851" w:footer="992" w:gutter="0"/>
          <w:cols w:space="720" w:num="1"/>
          <w:docGrid w:type="lines" w:linePitch="381" w:charSpace="0"/>
        </w:sectPr>
      </w:pPr>
      <w:r>
        <w:rPr>
          <w:rFonts w:hint="eastAsia" w:ascii="宋体" w:hAnsi="宋体" w:cs="仿宋"/>
          <w:bCs/>
          <w:sz w:val="28"/>
          <w:szCs w:val="28"/>
        </w:rPr>
        <w:t>汇总评估发现的内部控制缺陷，分析原因，提出合理建议，综合判断</w:t>
      </w:r>
      <w:r>
        <w:rPr>
          <w:rFonts w:hint="eastAsia" w:ascii="宋体" w:hAnsi="宋体" w:cs="仿宋"/>
          <w:bCs/>
          <w:sz w:val="28"/>
          <w:szCs w:val="28"/>
          <w:lang w:eastAsia="zh-CN"/>
        </w:rPr>
        <w:t>单位</w:t>
      </w:r>
      <w:r>
        <w:rPr>
          <w:rFonts w:hint="eastAsia" w:ascii="宋体" w:hAnsi="宋体" w:cs="仿宋"/>
          <w:bCs/>
          <w:sz w:val="28"/>
          <w:szCs w:val="28"/>
        </w:rPr>
        <w:t>内部控制体系的建设情况，完成内部控制风险评估报告。</w:t>
      </w:r>
      <w:bookmarkStart w:id="8" w:name="_Toc448325352"/>
    </w:p>
    <w:p>
      <w:pPr>
        <w:pStyle w:val="2"/>
        <w:spacing w:before="0" w:after="0" w:line="360" w:lineRule="auto"/>
        <w:rPr>
          <w:rFonts w:ascii="宋体" w:hAnsi="宋体" w:eastAsia="宋体"/>
          <w:sz w:val="32"/>
          <w:szCs w:val="32"/>
        </w:rPr>
      </w:pPr>
      <w:bookmarkStart w:id="9" w:name="_Toc42953529"/>
      <w:r>
        <w:rPr>
          <w:rFonts w:hint="eastAsia" w:ascii="宋体" w:hAnsi="宋体" w:eastAsia="宋体"/>
          <w:sz w:val="32"/>
          <w:szCs w:val="32"/>
        </w:rPr>
        <w:t>第二章</w:t>
      </w:r>
      <w:r>
        <w:rPr>
          <w:rFonts w:ascii="宋体" w:hAnsi="宋体" w:eastAsia="宋体"/>
          <w:sz w:val="32"/>
          <w:szCs w:val="32"/>
        </w:rPr>
        <w:t xml:space="preserve"> </w:t>
      </w:r>
      <w:r>
        <w:rPr>
          <w:rFonts w:hint="eastAsia" w:ascii="宋体" w:hAnsi="宋体" w:eastAsia="宋体"/>
          <w:sz w:val="32"/>
          <w:szCs w:val="32"/>
        </w:rPr>
        <w:t>风险评估结论</w:t>
      </w:r>
      <w:bookmarkEnd w:id="8"/>
      <w:r>
        <w:rPr>
          <w:rFonts w:hint="eastAsia" w:ascii="宋体" w:hAnsi="宋体" w:eastAsia="宋体"/>
          <w:sz w:val="32"/>
          <w:szCs w:val="32"/>
        </w:rPr>
        <w:t>及完善建议</w:t>
      </w:r>
      <w:bookmarkEnd w:id="9"/>
    </w:p>
    <w:p>
      <w:pPr>
        <w:spacing w:line="360" w:lineRule="auto"/>
        <w:ind w:firstLine="560" w:firstLineChars="200"/>
        <w:jc w:val="both"/>
        <w:rPr>
          <w:rFonts w:ascii="宋体" w:hAnsi="宋体" w:cs="仿宋"/>
          <w:bCs/>
          <w:sz w:val="28"/>
          <w:szCs w:val="28"/>
        </w:rPr>
      </w:pPr>
      <w:r>
        <w:rPr>
          <w:rFonts w:hint="eastAsia" w:ascii="宋体" w:hAnsi="宋体" w:cs="仿宋"/>
          <w:bCs/>
          <w:sz w:val="28"/>
          <w:szCs w:val="28"/>
        </w:rPr>
        <w:t>通过目前</w:t>
      </w:r>
      <w:r>
        <w:rPr>
          <w:rFonts w:hint="eastAsia" w:ascii="宋体" w:hAnsi="宋体" w:cs="仿宋"/>
          <w:bCs/>
          <w:sz w:val="28"/>
          <w:szCs w:val="28"/>
          <w:lang w:eastAsia="zh-CN"/>
        </w:rPr>
        <w:t>单位</w:t>
      </w:r>
      <w:r>
        <w:rPr>
          <w:rFonts w:hint="eastAsia" w:ascii="宋体" w:hAnsi="宋体" w:cs="仿宋"/>
          <w:bCs/>
          <w:sz w:val="28"/>
          <w:szCs w:val="28"/>
        </w:rPr>
        <w:t>提供的资料进行分析，</w:t>
      </w:r>
      <w:r>
        <w:rPr>
          <w:rFonts w:hint="eastAsia" w:ascii="宋体" w:hAnsi="宋体" w:cs="仿宋"/>
          <w:bCs/>
          <w:sz w:val="28"/>
          <w:szCs w:val="28"/>
          <w:lang w:eastAsia="zh-CN"/>
        </w:rPr>
        <w:t>单位</w:t>
      </w:r>
      <w:r>
        <w:rPr>
          <w:rFonts w:hint="eastAsia" w:ascii="宋体" w:hAnsi="宋体" w:cs="仿宋"/>
          <w:bCs/>
          <w:sz w:val="28"/>
          <w:szCs w:val="28"/>
        </w:rPr>
        <w:t>已按照内控规范的要求基本建立起了内部控制体系，并得以执行，内部控制机制在完整性、合理性等方面没有发现重大缺陷，但也看到</w:t>
      </w:r>
      <w:r>
        <w:rPr>
          <w:rFonts w:hint="eastAsia" w:ascii="宋体" w:hAnsi="宋体" w:cs="仿宋"/>
          <w:bCs/>
          <w:sz w:val="28"/>
          <w:szCs w:val="28"/>
          <w:lang w:eastAsia="zh-CN"/>
        </w:rPr>
        <w:t>单位</w:t>
      </w:r>
      <w:r>
        <w:rPr>
          <w:rFonts w:hint="eastAsia" w:ascii="宋体" w:hAnsi="宋体" w:cs="仿宋"/>
          <w:bCs/>
          <w:sz w:val="28"/>
          <w:szCs w:val="28"/>
        </w:rPr>
        <w:t>内部控制管理存在的一些问题，现将我们发现的内部控制方面的某些问题及改进建议提供给单位，以便完善内部控制建设。主要分为单位层面和业务层面两个方面，具体如下。</w:t>
      </w:r>
    </w:p>
    <w:p>
      <w:pPr>
        <w:pStyle w:val="3"/>
        <w:spacing w:before="0" w:after="0" w:line="360" w:lineRule="auto"/>
        <w:jc w:val="both"/>
      </w:pPr>
      <w:bookmarkStart w:id="10" w:name="_Toc42953530"/>
      <w:r>
        <w:rPr>
          <w:rFonts w:hint="eastAsia" w:ascii="宋体" w:hAnsi="宋体" w:eastAsia="宋体"/>
          <w:sz w:val="28"/>
          <w:szCs w:val="28"/>
        </w:rPr>
        <w:t>一、单位层面</w:t>
      </w:r>
      <w:bookmarkEnd w:id="10"/>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2480"/>
        <w:gridCol w:w="4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67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问题类型</w:t>
            </w:r>
          </w:p>
        </w:tc>
        <w:tc>
          <w:tcPr>
            <w:tcW w:w="248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问题内容</w:t>
            </w:r>
          </w:p>
        </w:tc>
        <w:tc>
          <w:tcPr>
            <w:tcW w:w="437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建议处理措施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内控组织架构</w:t>
            </w:r>
          </w:p>
        </w:tc>
        <w:tc>
          <w:tcPr>
            <w:tcW w:w="248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内控组织架构相对完善，内控组织架构职责不够清晰明了</w:t>
            </w:r>
          </w:p>
        </w:tc>
        <w:tc>
          <w:tcPr>
            <w:tcW w:w="437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优化完善内控组织架构职责问题，梳理内部沟通路线</w:t>
            </w:r>
            <w:r>
              <w:rPr>
                <w:rFonts w:ascii="仿宋_GB2312" w:hAnsi="仿宋" w:eastAsia="仿宋_GB2312" w:cs="仿宋"/>
                <w:bCs/>
                <w:sz w:val="21"/>
                <w:szCs w:val="21"/>
              </w:rPr>
              <w:t>—</w:t>
            </w:r>
            <w:r>
              <w:rPr>
                <w:rFonts w:hint="eastAsia" w:ascii="仿宋_GB2312" w:hAnsi="仿宋" w:eastAsia="仿宋_GB2312" w:cs="仿宋"/>
                <w:bCs/>
                <w:sz w:val="21"/>
                <w:szCs w:val="21"/>
              </w:rPr>
              <w:t>在内控手册中进行完善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分级授权</w:t>
            </w:r>
          </w:p>
        </w:tc>
        <w:tc>
          <w:tcPr>
            <w:tcW w:w="248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在各业务层面，部分流程中缺失分级授权审批权限，分级授权不明确</w:t>
            </w:r>
          </w:p>
        </w:tc>
        <w:tc>
          <w:tcPr>
            <w:tcW w:w="437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优化完善各业务领域分级授权要求,并且在内部达成共识--在各领域内控制度和流程中确定分级授权，特别是支出中明确出需授权的范围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岗责不匹配</w:t>
            </w:r>
          </w:p>
        </w:tc>
        <w:tc>
          <w:tcPr>
            <w:tcW w:w="248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在各业务层面，部分流程中岗责不匹配</w:t>
            </w:r>
          </w:p>
        </w:tc>
        <w:tc>
          <w:tcPr>
            <w:tcW w:w="437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完善明确各业务领域中流程岗位职责匹配，结合单位实际匹配相应职责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67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岗责不清</w:t>
            </w:r>
          </w:p>
        </w:tc>
        <w:tc>
          <w:tcPr>
            <w:tcW w:w="248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在各业务领域中，部分流程步骤岗责缺失</w:t>
            </w:r>
          </w:p>
        </w:tc>
        <w:tc>
          <w:tcPr>
            <w:tcW w:w="437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补充完善各业务领域流程中缺失的岗位职责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7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不相容分离</w:t>
            </w:r>
          </w:p>
        </w:tc>
        <w:tc>
          <w:tcPr>
            <w:tcW w:w="248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在各领域中，部分流程审批、执行、记录与监督岗位未明确分离</w:t>
            </w:r>
          </w:p>
        </w:tc>
        <w:tc>
          <w:tcPr>
            <w:tcW w:w="437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梳理明确单位各项经济业务得不相容岗位，未分离的应进行相应管控</w:t>
            </w:r>
          </w:p>
        </w:tc>
      </w:tr>
    </w:tbl>
    <w:p>
      <w:pPr>
        <w:rPr>
          <w:rFonts w:ascii="仿宋_GB2312" w:hAnsi="仿宋" w:eastAsia="仿宋_GB2312" w:cs="仿宋"/>
          <w:bCs/>
          <w:sz w:val="32"/>
          <w:szCs w:val="32"/>
        </w:rPr>
      </w:pPr>
      <w:bookmarkStart w:id="11" w:name="_Toc527488845"/>
    </w:p>
    <w:p>
      <w:pPr>
        <w:rPr>
          <w:rFonts w:ascii="仿宋_GB2312" w:hAnsi="仿宋" w:eastAsia="仿宋_GB2312" w:cs="仿宋"/>
          <w:bCs/>
          <w:sz w:val="32"/>
          <w:szCs w:val="32"/>
        </w:rPr>
      </w:pPr>
    </w:p>
    <w:p>
      <w:pPr>
        <w:rPr>
          <w:rFonts w:ascii="仿宋_GB2312" w:hAnsi="仿宋" w:eastAsia="仿宋_GB2312" w:cs="仿宋"/>
          <w:bCs/>
          <w:sz w:val="32"/>
          <w:szCs w:val="32"/>
        </w:rPr>
      </w:pPr>
    </w:p>
    <w:p>
      <w:pPr>
        <w:rPr>
          <w:rFonts w:ascii="仿宋_GB2312" w:hAnsi="仿宋" w:eastAsia="仿宋_GB2312" w:cs="仿宋"/>
          <w:bCs/>
          <w:sz w:val="32"/>
          <w:szCs w:val="32"/>
        </w:rPr>
      </w:pPr>
    </w:p>
    <w:bookmarkEnd w:id="11"/>
    <w:p>
      <w:pPr>
        <w:pStyle w:val="3"/>
        <w:spacing w:before="0" w:after="0" w:line="360" w:lineRule="auto"/>
        <w:jc w:val="both"/>
        <w:rPr>
          <w:rFonts w:ascii="宋体" w:hAnsi="宋体" w:eastAsia="宋体"/>
          <w:sz w:val="28"/>
          <w:szCs w:val="28"/>
        </w:rPr>
      </w:pPr>
      <w:bookmarkStart w:id="12" w:name="_Toc42953531"/>
      <w:r>
        <w:rPr>
          <w:rFonts w:hint="eastAsia" w:ascii="宋体" w:hAnsi="宋体" w:eastAsia="宋体"/>
          <w:sz w:val="28"/>
          <w:szCs w:val="28"/>
        </w:rPr>
        <w:t>二、业务层面</w:t>
      </w:r>
      <w:bookmarkEnd w:id="12"/>
    </w:p>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320" w:firstLineChars="100"/>
        <w:jc w:val="both"/>
        <w:rPr>
          <w:rFonts w:ascii="仿宋_GB2312" w:hAnsi="仿宋" w:eastAsia="仿宋_GB2312" w:cs="仿宋"/>
          <w:bCs/>
          <w:sz w:val="32"/>
          <w:szCs w:val="32"/>
        </w:rPr>
      </w:pPr>
      <w:r>
        <w:rPr>
          <w:rFonts w:hint="eastAsia" w:ascii="仿宋_GB2312" w:hAnsi="仿宋" w:eastAsia="仿宋_GB2312" w:cs="仿宋"/>
          <w:bCs/>
          <w:sz w:val="32"/>
          <w:szCs w:val="32"/>
        </w:rPr>
        <w:t>（1）预算业务领域：</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2475"/>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66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问题类型</w:t>
            </w: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问题内容</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建议处理措施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3" w:hRule="atLeast"/>
        </w:trPr>
        <w:tc>
          <w:tcPr>
            <w:tcW w:w="1665" w:type="dxa"/>
            <w:vMerge w:val="restart"/>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关键审核点缺失</w:t>
            </w: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在预算调整申请及审批流程中，各业务部门提出预算调整申请后，未汇总至预算归口部门并经过单位内部审核审批，直接上报上级部门</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根据内控规范以及预算管理相关管理规定，在业务流程图中梳理出预算调整申请及审批流程，在内部控制预算管理制度中明确归口部门的职责，管理预算相关业务。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665"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在决算编制及审批流程中，财务部门会计岗按照决算编制要求编制部门决算报告，直接在决算系统中编制上报，未经审核审批程序</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根据内控规范以及预算管理相关管理规定，在预算管理业务流程图中增加对预算归口部门经办岗编制的部门决算报告进行审核审批管控，通过后再上报上级部门。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66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关键业务部门岗位职责不明确</w:t>
            </w: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预算执行与分析流程中，预算执行部门经办岗应按照本部门预算执行进度和计划完成情况进行汇总分析并编制预算执行统计报表，由预算归口部门进行汇总，但单位是由各业务部门直接上报，未经过财务部门统一汇总，并进行审核审批程序再上报。</w:t>
            </w:r>
            <w:r>
              <w:rPr>
                <w:rFonts w:ascii="仿宋_GB2312" w:hAnsi="仿宋" w:eastAsia="仿宋_GB2312" w:cs="仿宋"/>
                <w:bCs/>
                <w:sz w:val="21"/>
                <w:szCs w:val="21"/>
              </w:rPr>
              <w:t xml:space="preserve"> </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需按照国家法律法规及规范性文件梳理出的预算执行与分析流程的管控要求，严格执行预算归口管理办法，在内控体系的制度层面明确预算执行部门和预算归口部门相关职责，在相关业务流程图中增加对财务科汇总编制的预算执行情况报告审核审批的流程，并梳理完善相关控制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665" w:type="dxa"/>
            <w:vMerge w:val="restart"/>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关键业务环节管控要求不清晰</w:t>
            </w: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在收入预算编制及审批流程中，单位对于</w:t>
            </w:r>
            <w:r>
              <w:rPr>
                <w:rFonts w:hint="eastAsia" w:ascii="仿宋_GB2312" w:hAnsi="仿宋" w:eastAsia="仿宋_GB2312" w:cs="仿宋"/>
                <w:bCs/>
                <w:sz w:val="21"/>
                <w:szCs w:val="21"/>
                <w:lang w:eastAsia="zh-CN"/>
              </w:rPr>
              <w:t>单位</w:t>
            </w:r>
            <w:r>
              <w:rPr>
                <w:rFonts w:hint="eastAsia" w:ascii="仿宋_GB2312" w:hAnsi="仿宋" w:eastAsia="仿宋_GB2312" w:cs="仿宋"/>
                <w:bCs/>
                <w:sz w:val="21"/>
                <w:szCs w:val="21"/>
              </w:rPr>
              <w:t>的收入预算编制流程管控要求不明确。</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按照国家法律法规规范性文件梳理收入预算编制管控要求</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在单位内控体系成果中，制度层面进行梳理、相应流程图上进行控制要求明确。</w:t>
            </w:r>
          </w:p>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涉及资金额度规定，需要单位内部共识一致。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665"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在预算内部分解下达流程中，单位对于预算内部分解下达的管控要求及流程步骤不明确。</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需按照国家法律法规以及财政部门政策要求，进行规范性的梳理，在单位内控体系成果的制度层面和相应的流程步骤中明确相关管理要求。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66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关键业务管理流程不清晰</w:t>
            </w:r>
          </w:p>
        </w:tc>
        <w:tc>
          <w:tcPr>
            <w:tcW w:w="247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在财政支出绩效评价管理流程中，单位对外包财政支出绩效评价管理的第三方机构往来管理流程不清晰</w:t>
            </w:r>
          </w:p>
        </w:tc>
        <w:tc>
          <w:tcPr>
            <w:tcW w:w="438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财政部门政策要求规范财政支出绩效评价机制，梳理财政支出绩效管理流程及对应的管控要求。在单位内控体系成果中，制度层面进行梳理/流程上进行控制要求明确单位与第三方机构的管理流程及管控要求。</w:t>
            </w:r>
          </w:p>
        </w:tc>
      </w:tr>
    </w:tbl>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320" w:firstLineChars="100"/>
        <w:jc w:val="both"/>
        <w:rPr>
          <w:rFonts w:ascii="仿宋_GB2312" w:hAnsi="仿宋" w:eastAsia="仿宋_GB2312" w:cs="仿宋"/>
          <w:bCs/>
          <w:sz w:val="32"/>
          <w:szCs w:val="32"/>
        </w:rPr>
      </w:pPr>
      <w:r>
        <w:rPr>
          <w:rFonts w:hint="eastAsia" w:ascii="仿宋_GB2312" w:hAnsi="仿宋" w:eastAsia="仿宋_GB2312" w:cs="仿宋"/>
          <w:bCs/>
          <w:sz w:val="32"/>
          <w:szCs w:val="32"/>
        </w:rPr>
        <w:t>（2）收支领域</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60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55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问题类型</w:t>
            </w: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问题内容</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建议处理措施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1555" w:type="dxa"/>
            <w:vMerge w:val="restart"/>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关键审核点缺失</w:t>
            </w: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在财政票据申领及发放流程中，单位财务部门经办岗冲销已用票据，申领新票据，填写申领财政票据申请表，无内部审核审批流程。</w:t>
            </w:r>
            <w:r>
              <w:rPr>
                <w:rFonts w:ascii="仿宋_GB2312" w:hAnsi="仿宋" w:eastAsia="仿宋_GB2312" w:cs="仿宋"/>
                <w:bCs/>
                <w:sz w:val="21"/>
                <w:szCs w:val="21"/>
              </w:rPr>
              <w:t xml:space="preserve"> </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按照国家法律法规以及财政政策要求，进行规范性的梳理</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在单位内控体系成果中，需在制度层面梳理财政票据的管理要求，在业务流程图编制相关流程图及说明。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55"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在公务卡申领及注销流程中，针对单位各业务部门提交申办公务卡申请和相关材料审核审批流程模糊</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根据内控规范以及收支管理相关管理规定，应公务卡申领及注销流程图中明确对各科室提交申办公务卡申请和相关材料的审核审批流程，并增加相应的流程图说明（流程描述、流程主责部门、岗位、控制要素等）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55"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在会计档案借阅流程中，相关人员现场借阅，无申请审核程序</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要求、内控规范要求、收支管理要求及会计档案管理办法，需要规范单位会计档案借阅管理，增加对相关人员借阅会计档案审核审批程序，在单位内控体系成果中，需进行制度层面和业务流程图上进行梳理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55" w:type="dxa"/>
            <w:vMerge w:val="restart"/>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关键业务单位现阶段涉及较少，管理流程不清晰</w:t>
            </w: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在非税收入收取及缴库流程中，单位现阶段只涉及罚没收入，针对非税收入的管理流程不清晰</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按照国家法律法规要求、内控规范要求、收支管理要求，整体梳理收入收取及缴库在制度层面和管理流程上的协同衔接规范性要求。在单位内控体系成果中，制度层面和业务流程图上进行梳理控制要求。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55"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在用款计划申请及审批流程中，单位对于用款计划申请管理比较模糊</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按照国家法律法规要求、内控规范要求，整体梳理用款计划及审批在制度层面和管理流程上的协同衔接规范性要求。在单位内控体系成果中，需在制度层面和业务流程图上进行梳理控制要求。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55"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单位现阶段不涉及借款申请及审批管理、会计档案销毁流程，但需要保留</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按照国家法律法规要求、内控规范要求，整体梳理借款申请及审批流程、会计档案销毁在制度层面和管理流程上的协同衔接规范性要求。在单位内控体系成果中，需在制度层面和业务流程图上进行梳理控制要求。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5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关键业务管理缺失</w:t>
            </w:r>
          </w:p>
        </w:tc>
        <w:tc>
          <w:tcPr>
            <w:tcW w:w="260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单位缺失支出事前申请及审批流程</w:t>
            </w:r>
          </w:p>
        </w:tc>
        <w:tc>
          <w:tcPr>
            <w:tcW w:w="436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需按照国家法律法规以及省财政厅政策要求，进行规范性流程梳理，在单位内控体系成果的制度层面和相应的流程步骤中明确相关管理要求。</w:t>
            </w:r>
          </w:p>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涉及资金额度规定，需要单位内部共识一致。</w:t>
            </w:r>
          </w:p>
        </w:tc>
      </w:tr>
    </w:tbl>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320" w:firstLineChars="100"/>
        <w:jc w:val="both"/>
        <w:rPr>
          <w:rFonts w:ascii="仿宋_GB2312" w:hAnsi="仿宋" w:eastAsia="仿宋_GB2312" w:cs="仿宋"/>
          <w:bCs/>
          <w:sz w:val="32"/>
          <w:szCs w:val="32"/>
        </w:rPr>
      </w:pPr>
      <w:r>
        <w:rPr>
          <w:rFonts w:hint="eastAsia" w:ascii="仿宋_GB2312" w:hAnsi="仿宋" w:eastAsia="仿宋_GB2312" w:cs="仿宋"/>
          <w:bCs/>
          <w:sz w:val="32"/>
          <w:szCs w:val="32"/>
        </w:rPr>
        <w:t>（3）政府采购领域</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740"/>
        <w:gridCol w:w="4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661"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问题类型</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问题内容</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建议处理措施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661" w:type="dxa"/>
            <w:vMerge w:val="restart"/>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关键业务环节管控流程要求不清晰</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在采购需求论证流程中，单位与第三方机构之间的流程往来步骤管控要求不明确</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按照国家法律法规规范性的梳理采购需求论证管控要求</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在单位内控体系成果中，制度层面进行梳理/流程图上进行控制要求明确。</w:t>
            </w:r>
          </w:p>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涉及资金额度规定，需要单位内部共识一致。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trPr>
        <w:tc>
          <w:tcPr>
            <w:tcW w:w="1661"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采购履约验收流程-采购履约验收的适用范围和使用情形，业务步骤流转过程未有明确管控要求</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按照国家法律法规规范性的梳理采购履约验收管控要求</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在单位内控体系成果中，制度层面进行梳理/流程图上进行控制要求明确。</w:t>
            </w:r>
          </w:p>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涉及资金额度规定，需要单位内部共识一致。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661" w:type="dxa"/>
            <w:vMerge w:val="continue"/>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在采购质疑答复与投诉受理中，单位无明确相关管控办法</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需按照国家法律法规以及财政政策要求，进行规范性流程梳理，在单位内控体系成果的制度层面和相应的流程步骤中明确相关管理要求。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661"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部门协同要求未明确</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采购实施计划编制及审批流程-政府采购管理员在政府采购实施计划编制之时需要与各业务部门之间确定实施计划具体内容，目前政府采购管理部门和各业务部门协同配合要求不明，部门内部各岗位之间需要协同/配合的具体内容，工作要求、控制要素、文档等不明确。</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要求、内控规范要求、业务管理要求以及政府采购管理要求，整体梳理政府采购实施计划编制及审核在制度层面和管理流程上的协同衔接规范性要求。--在单位内控体系成果中，制度层面进行梳理/流程图上进行控制要求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661"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管理要求不具象，未形成完整的流程控制</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公开招标/邀请招标/单一来源/询价/竞争性磋商/竞争性谈判等流程-流程控制要求、业务流转步骤、主责部门及关键岗位职责，控制文档等内容未完整梳理。</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按照国家法律法规以及财政政策要求，进行规范性的梳理</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在单位内控体系成果中，梳理公开招标/邀请招标/单一来源/询价/竞争性磋商/竞争性谈判等流程管理要求，编制流程图。</w:t>
            </w:r>
          </w:p>
        </w:tc>
      </w:tr>
    </w:tbl>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320" w:firstLineChars="100"/>
        <w:jc w:val="both"/>
        <w:rPr>
          <w:rFonts w:ascii="仿宋_GB2312" w:hAnsi="仿宋" w:eastAsia="仿宋_GB2312" w:cs="仿宋"/>
          <w:bCs/>
          <w:sz w:val="32"/>
          <w:szCs w:val="32"/>
        </w:rPr>
      </w:pPr>
      <w:r>
        <w:rPr>
          <w:rFonts w:hint="eastAsia" w:ascii="仿宋_GB2312" w:hAnsi="仿宋" w:eastAsia="仿宋_GB2312" w:cs="仿宋"/>
          <w:bCs/>
          <w:sz w:val="32"/>
          <w:szCs w:val="32"/>
        </w:rPr>
        <w:t>（</w:t>
      </w:r>
      <w:r>
        <w:rPr>
          <w:rFonts w:ascii="仿宋_GB2312" w:hAnsi="仿宋" w:eastAsia="仿宋_GB2312" w:cs="仿宋"/>
          <w:bCs/>
          <w:sz w:val="32"/>
          <w:szCs w:val="32"/>
        </w:rPr>
        <w:t>4）</w:t>
      </w:r>
      <w:r>
        <w:rPr>
          <w:rFonts w:hint="eastAsia" w:ascii="仿宋_GB2312" w:hAnsi="仿宋" w:eastAsia="仿宋_GB2312" w:cs="仿宋"/>
          <w:bCs/>
          <w:sz w:val="32"/>
          <w:szCs w:val="32"/>
        </w:rPr>
        <w:t>资产管理领域</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740"/>
        <w:gridCol w:w="4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55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问题类型</w:t>
            </w:r>
          </w:p>
        </w:tc>
        <w:tc>
          <w:tcPr>
            <w:tcW w:w="274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问题内容</w:t>
            </w:r>
          </w:p>
        </w:tc>
        <w:tc>
          <w:tcPr>
            <w:tcW w:w="422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建议处理措施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55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关键业务审核点管控不明确</w:t>
            </w:r>
          </w:p>
        </w:tc>
        <w:tc>
          <w:tcPr>
            <w:tcW w:w="274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在资产盘点流程中，单位针对</w:t>
            </w:r>
            <w:r>
              <w:rPr>
                <w:rFonts w:hint="eastAsia" w:ascii="仿宋_GB2312" w:hAnsi="仿宋" w:eastAsia="仿宋_GB2312" w:cs="仿宋"/>
                <w:bCs/>
                <w:sz w:val="21"/>
                <w:szCs w:val="21"/>
                <w:lang w:eastAsia="zh-CN"/>
              </w:rPr>
              <w:t>归口部门</w:t>
            </w:r>
            <w:r>
              <w:rPr>
                <w:rFonts w:hint="eastAsia" w:ascii="仿宋_GB2312" w:hAnsi="仿宋" w:eastAsia="仿宋_GB2312" w:cs="仿宋"/>
                <w:bCs/>
                <w:sz w:val="21"/>
                <w:szCs w:val="21"/>
              </w:rPr>
              <w:t>提出的资产清查申请无审核审批程序</w:t>
            </w:r>
          </w:p>
        </w:tc>
        <w:tc>
          <w:tcPr>
            <w:tcW w:w="422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根据内控规范以及资产管理相关管理规定，在业务流程图中增加梳理出资产盘点审核审批流程，明确资产盘点流程管控要求。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55"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管理要求不具象，未形成完整的流程控制</w:t>
            </w:r>
          </w:p>
        </w:tc>
        <w:tc>
          <w:tcPr>
            <w:tcW w:w="2740"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国有资产报损、报废申请及审批、国有资产清查、国有资产核实申请及审批的流程控制要求、业务流转步骤、主责部门及关键岗位职责，控制文档等内容未完整梳理。</w:t>
            </w:r>
          </w:p>
        </w:tc>
        <w:tc>
          <w:tcPr>
            <w:tcW w:w="4227"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按照国家法律法规以及财政政策要求，进行规范性的梳理</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在单位内控体系成果中，梳理国有资产报损、报废申请及审批、国有资产清查、国有资产核实申请及审批流程管理要求，编制流程图。</w:t>
            </w:r>
          </w:p>
        </w:tc>
      </w:tr>
    </w:tbl>
    <w:p>
      <w:pPr>
        <w:tabs>
          <w:tab w:val="left" w:pos="-720"/>
          <w:tab w:val="left" w:pos="0"/>
          <w:tab w:val="left" w:pos="720"/>
          <w:tab w:val="left" w:pos="1440"/>
          <w:tab w:val="left" w:pos="2160"/>
          <w:tab w:val="left" w:pos="2880"/>
          <w:tab w:val="left" w:pos="3600"/>
          <w:tab w:val="left" w:pos="4320"/>
        </w:tabs>
        <w:autoSpaceDE w:val="0"/>
        <w:autoSpaceDN w:val="0"/>
        <w:adjustRightInd w:val="0"/>
        <w:spacing w:line="540" w:lineRule="exact"/>
        <w:ind w:firstLine="320" w:firstLineChars="100"/>
        <w:jc w:val="both"/>
        <w:rPr>
          <w:rFonts w:ascii="仿宋_GB2312" w:hAnsi="仿宋" w:eastAsia="仿宋_GB2312" w:cs="仿宋"/>
          <w:bCs/>
          <w:sz w:val="32"/>
          <w:szCs w:val="32"/>
        </w:rPr>
      </w:pPr>
      <w:r>
        <w:rPr>
          <w:rFonts w:hint="eastAsia" w:ascii="仿宋_GB2312" w:hAnsi="仿宋" w:eastAsia="仿宋_GB2312" w:cs="仿宋"/>
          <w:bCs/>
          <w:sz w:val="32"/>
          <w:szCs w:val="32"/>
        </w:rPr>
        <w:t>（5）合同业务领域</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740"/>
        <w:gridCol w:w="4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661"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问题类型</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问题内容</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center"/>
              <w:rPr>
                <w:rFonts w:ascii="仿宋_GB2312" w:hAnsi="仿宋" w:eastAsia="仿宋_GB2312" w:cs="仿宋"/>
                <w:b/>
                <w:bCs/>
                <w:sz w:val="21"/>
                <w:szCs w:val="21"/>
              </w:rPr>
            </w:pPr>
            <w:r>
              <w:rPr>
                <w:rFonts w:hint="eastAsia" w:ascii="仿宋_GB2312" w:hAnsi="仿宋" w:eastAsia="仿宋_GB2312" w:cs="仿宋"/>
                <w:b/>
                <w:bCs/>
                <w:sz w:val="21"/>
                <w:szCs w:val="21"/>
              </w:rPr>
              <w:t>建议处理措施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trPr>
        <w:tc>
          <w:tcPr>
            <w:tcW w:w="1661"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管理要求不具象，未形成完整的流程控制</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在合同订立与审批、合同纠纷调节与处理流程中，单位在其流程控制要求、业务流转步骤、主责部门及关键岗位职责，控制文档等内容未完整梳理。</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按照国家法律法规以及财政政策要求，进行规范性的梳理</w:t>
            </w:r>
            <w:r>
              <w:rPr>
                <w:rFonts w:ascii="仿宋_GB2312" w:hAnsi="仿宋" w:eastAsia="仿宋_GB2312" w:cs="仿宋"/>
                <w:bCs/>
                <w:sz w:val="21"/>
                <w:szCs w:val="21"/>
              </w:rPr>
              <w:t>—</w:t>
            </w:r>
            <w:r>
              <w:rPr>
                <w:rFonts w:hint="eastAsia" w:ascii="仿宋_GB2312" w:hAnsi="仿宋" w:eastAsia="仿宋_GB2312" w:cs="仿宋"/>
                <w:bCs/>
                <w:sz w:val="21"/>
                <w:szCs w:val="21"/>
              </w:rPr>
              <w:t>在单位内控体系成果中，梳理合同订立与审批、合同纠纷调节与处理流程管理要求，编制流程图及说明。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atLeast"/>
        </w:trPr>
        <w:tc>
          <w:tcPr>
            <w:tcW w:w="1661"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关键业务流程审核点缺失</w:t>
            </w:r>
          </w:p>
        </w:tc>
        <w:tc>
          <w:tcPr>
            <w:tcW w:w="2983"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单位对合同归口部门经办岗进行合同资料整理分类，提供合同资料移交清单并移交合同资料清册未进行审核程序，管控要求不明确</w:t>
            </w:r>
          </w:p>
        </w:tc>
        <w:tc>
          <w:tcPr>
            <w:tcW w:w="4642" w:type="dxa"/>
            <w:vAlign w:val="center"/>
          </w:tcPr>
          <w:p>
            <w:pPr>
              <w:tabs>
                <w:tab w:val="left" w:pos="-720"/>
                <w:tab w:val="left" w:pos="0"/>
                <w:tab w:val="left" w:pos="720"/>
                <w:tab w:val="left" w:pos="1440"/>
                <w:tab w:val="left" w:pos="2160"/>
                <w:tab w:val="left" w:pos="2880"/>
                <w:tab w:val="left" w:pos="4320"/>
              </w:tabs>
              <w:autoSpaceDE w:val="0"/>
              <w:autoSpaceDN w:val="0"/>
              <w:adjustRightInd w:val="0"/>
              <w:jc w:val="both"/>
              <w:rPr>
                <w:rFonts w:ascii="仿宋_GB2312" w:hAnsi="仿宋" w:eastAsia="仿宋_GB2312" w:cs="仿宋"/>
                <w:bCs/>
                <w:sz w:val="21"/>
                <w:szCs w:val="21"/>
              </w:rPr>
            </w:pPr>
            <w:r>
              <w:rPr>
                <w:rFonts w:hint="eastAsia" w:ascii="仿宋_GB2312" w:hAnsi="仿宋" w:eastAsia="仿宋_GB2312" w:cs="仿宋"/>
                <w:bCs/>
                <w:sz w:val="21"/>
                <w:szCs w:val="21"/>
              </w:rPr>
              <w:t>根据内控规范以及合同管理相关管理规定，明确对合同归口部门提交合同资料整理分类，提供合同资料移交清单并移交合同资料清册的审核审批流程，并增加相应的流程图说明（流程描述、流程主责部门、岗位、控制要素等）</w:t>
            </w:r>
          </w:p>
        </w:tc>
      </w:tr>
    </w:tbl>
    <w:p>
      <w:pPr>
        <w:spacing w:line="360" w:lineRule="auto"/>
        <w:jc w:val="both"/>
        <w:rPr>
          <w:rFonts w:ascii="宋体" w:hAnsi="宋体" w:cs="仿宋"/>
          <w:bCs/>
          <w:sz w:val="28"/>
          <w:szCs w:val="28"/>
        </w:rPr>
      </w:pPr>
    </w:p>
    <w:p>
      <w:pPr>
        <w:spacing w:line="360" w:lineRule="auto"/>
        <w:jc w:val="both"/>
        <w:rPr>
          <w:rFonts w:ascii="宋体" w:hAnsi="宋体" w:cs="仿宋"/>
          <w:bCs/>
          <w:sz w:val="28"/>
          <w:szCs w:val="28"/>
        </w:rPr>
      </w:pPr>
    </w:p>
    <w:p>
      <w:pPr>
        <w:spacing w:line="360" w:lineRule="auto"/>
        <w:jc w:val="both"/>
        <w:rPr>
          <w:rFonts w:ascii="宋体" w:hAnsi="宋体"/>
          <w:sz w:val="28"/>
        </w:rPr>
      </w:pPr>
    </w:p>
    <w:sectPr>
      <w:pgSz w:w="11906" w:h="16838"/>
      <w:pgMar w:top="1440" w:right="1800" w:bottom="1440" w:left="1800" w:header="851" w:footer="992"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fldChar w:fldCharType="begin"/>
    </w:r>
    <w:r>
      <w:instrText xml:space="preserve">PAGE   \* MERGEFORMAT</w:instrText>
    </w:r>
    <w:r>
      <w:fldChar w:fldCharType="separate"/>
    </w:r>
    <w:r>
      <w:rPr>
        <w:lang w:val="zh-CN"/>
      </w:rPr>
      <w:t>1</w:t>
    </w:r>
    <w:r>
      <w:fldChar w:fldCharType="end"/>
    </w:r>
  </w:p>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p>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1209470"/>
      <w:docPartObj>
        <w:docPartGallery w:val="autotext"/>
      </w:docPartObj>
    </w:sdtPr>
    <w:sdtContent>
      <w:p>
        <w:pPr>
          <w:pStyle w:val="10"/>
          <w:ind w:firstLine="360"/>
          <w:jc w:val="center"/>
        </w:pPr>
        <w:r>
          <w:fldChar w:fldCharType="begin"/>
        </w:r>
        <w:r>
          <w:instrText xml:space="preserve">PAGE   \* MERGEFORMAT</w:instrText>
        </w:r>
        <w:r>
          <w:fldChar w:fldCharType="separate"/>
        </w:r>
        <w:r>
          <w:rPr>
            <w:lang w:val="zh-CN"/>
          </w:rPr>
          <w:t>7</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spacing w:line="240" w:lineRule="auto"/>
      <w:ind w:firstLine="0" w:firstLineChars="0"/>
      <w:jc w:val="right"/>
      <w:rPr>
        <w:sz w:val="21"/>
        <w:szCs w:val="21"/>
      </w:rPr>
    </w:pPr>
    <w:r>
      <w:rPr>
        <w:rFonts w:hint="eastAsia"/>
        <w:sz w:val="21"/>
        <w:szCs w:val="21"/>
      </w:rPr>
      <w:t>内部控制风险评估报告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20"/>
  <w:drawingGridVerticalSpacing w:val="381"/>
  <w:displayHorizont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790"/>
    <w:rsid w:val="000012D2"/>
    <w:rsid w:val="000026C9"/>
    <w:rsid w:val="000037E3"/>
    <w:rsid w:val="0000430A"/>
    <w:rsid w:val="0000489D"/>
    <w:rsid w:val="0000492F"/>
    <w:rsid w:val="000056B3"/>
    <w:rsid w:val="000075BE"/>
    <w:rsid w:val="000077A6"/>
    <w:rsid w:val="00011BCE"/>
    <w:rsid w:val="00012CBC"/>
    <w:rsid w:val="00013573"/>
    <w:rsid w:val="00013E71"/>
    <w:rsid w:val="00015A40"/>
    <w:rsid w:val="0001648C"/>
    <w:rsid w:val="000165CC"/>
    <w:rsid w:val="00016B56"/>
    <w:rsid w:val="0001722C"/>
    <w:rsid w:val="00017D79"/>
    <w:rsid w:val="000222CC"/>
    <w:rsid w:val="000228AB"/>
    <w:rsid w:val="00023767"/>
    <w:rsid w:val="0002446E"/>
    <w:rsid w:val="00025598"/>
    <w:rsid w:val="000264D3"/>
    <w:rsid w:val="00030650"/>
    <w:rsid w:val="00033545"/>
    <w:rsid w:val="00034C13"/>
    <w:rsid w:val="000368EA"/>
    <w:rsid w:val="00044D37"/>
    <w:rsid w:val="000452A2"/>
    <w:rsid w:val="0005070F"/>
    <w:rsid w:val="0005081D"/>
    <w:rsid w:val="0005488C"/>
    <w:rsid w:val="00055426"/>
    <w:rsid w:val="0005754A"/>
    <w:rsid w:val="00062435"/>
    <w:rsid w:val="000633D6"/>
    <w:rsid w:val="000645AA"/>
    <w:rsid w:val="00064613"/>
    <w:rsid w:val="00064E61"/>
    <w:rsid w:val="00065045"/>
    <w:rsid w:val="000655D6"/>
    <w:rsid w:val="00065A8C"/>
    <w:rsid w:val="00067CB1"/>
    <w:rsid w:val="00071C4E"/>
    <w:rsid w:val="00072546"/>
    <w:rsid w:val="0007270E"/>
    <w:rsid w:val="00075AF2"/>
    <w:rsid w:val="00075D84"/>
    <w:rsid w:val="00076E0E"/>
    <w:rsid w:val="00081FB1"/>
    <w:rsid w:val="0008270A"/>
    <w:rsid w:val="000831D2"/>
    <w:rsid w:val="00083FC2"/>
    <w:rsid w:val="0008435F"/>
    <w:rsid w:val="000864C9"/>
    <w:rsid w:val="0008654F"/>
    <w:rsid w:val="00087026"/>
    <w:rsid w:val="00087ABE"/>
    <w:rsid w:val="00096873"/>
    <w:rsid w:val="000A076F"/>
    <w:rsid w:val="000A4A0B"/>
    <w:rsid w:val="000A4EB5"/>
    <w:rsid w:val="000B0924"/>
    <w:rsid w:val="000B0EA3"/>
    <w:rsid w:val="000B139E"/>
    <w:rsid w:val="000B4419"/>
    <w:rsid w:val="000B4767"/>
    <w:rsid w:val="000B6100"/>
    <w:rsid w:val="000B6D71"/>
    <w:rsid w:val="000B7F38"/>
    <w:rsid w:val="000C0F5B"/>
    <w:rsid w:val="000C2B06"/>
    <w:rsid w:val="000C6A47"/>
    <w:rsid w:val="000C6F2D"/>
    <w:rsid w:val="000C7FA6"/>
    <w:rsid w:val="000D0518"/>
    <w:rsid w:val="000D054E"/>
    <w:rsid w:val="000D1E2B"/>
    <w:rsid w:val="000D2567"/>
    <w:rsid w:val="000D2BCC"/>
    <w:rsid w:val="000D2D2C"/>
    <w:rsid w:val="000D34F5"/>
    <w:rsid w:val="000D7FAC"/>
    <w:rsid w:val="000E189F"/>
    <w:rsid w:val="000E23BC"/>
    <w:rsid w:val="000E3147"/>
    <w:rsid w:val="000E427A"/>
    <w:rsid w:val="000E573C"/>
    <w:rsid w:val="000F20B5"/>
    <w:rsid w:val="000F2D5E"/>
    <w:rsid w:val="000F2DCD"/>
    <w:rsid w:val="000F3342"/>
    <w:rsid w:val="000F3EF6"/>
    <w:rsid w:val="000F4D4F"/>
    <w:rsid w:val="000F52E9"/>
    <w:rsid w:val="000F5B6E"/>
    <w:rsid w:val="000F61B3"/>
    <w:rsid w:val="000F6860"/>
    <w:rsid w:val="000F7110"/>
    <w:rsid w:val="001009B6"/>
    <w:rsid w:val="0010225E"/>
    <w:rsid w:val="00103AA5"/>
    <w:rsid w:val="0010631A"/>
    <w:rsid w:val="001076D6"/>
    <w:rsid w:val="00107E2C"/>
    <w:rsid w:val="0011040E"/>
    <w:rsid w:val="0011054B"/>
    <w:rsid w:val="001108B7"/>
    <w:rsid w:val="001109AE"/>
    <w:rsid w:val="00111A84"/>
    <w:rsid w:val="001120B1"/>
    <w:rsid w:val="00113044"/>
    <w:rsid w:val="0011480C"/>
    <w:rsid w:val="00116986"/>
    <w:rsid w:val="00117AD8"/>
    <w:rsid w:val="00117FCD"/>
    <w:rsid w:val="00120837"/>
    <w:rsid w:val="00122188"/>
    <w:rsid w:val="00122352"/>
    <w:rsid w:val="00123AEF"/>
    <w:rsid w:val="00125265"/>
    <w:rsid w:val="00126A61"/>
    <w:rsid w:val="0012776A"/>
    <w:rsid w:val="00130046"/>
    <w:rsid w:val="00132101"/>
    <w:rsid w:val="001325CC"/>
    <w:rsid w:val="00133AD8"/>
    <w:rsid w:val="00133D7E"/>
    <w:rsid w:val="0013516A"/>
    <w:rsid w:val="001354BA"/>
    <w:rsid w:val="00137371"/>
    <w:rsid w:val="00140260"/>
    <w:rsid w:val="001404C4"/>
    <w:rsid w:val="001416B2"/>
    <w:rsid w:val="001417B2"/>
    <w:rsid w:val="001428CB"/>
    <w:rsid w:val="0014631E"/>
    <w:rsid w:val="00146AE7"/>
    <w:rsid w:val="0015024B"/>
    <w:rsid w:val="00150C44"/>
    <w:rsid w:val="00151228"/>
    <w:rsid w:val="001517B1"/>
    <w:rsid w:val="00151C7D"/>
    <w:rsid w:val="0015297C"/>
    <w:rsid w:val="00152A62"/>
    <w:rsid w:val="00156D95"/>
    <w:rsid w:val="00157270"/>
    <w:rsid w:val="00157D1E"/>
    <w:rsid w:val="00160A2D"/>
    <w:rsid w:val="00164AFD"/>
    <w:rsid w:val="00170E6A"/>
    <w:rsid w:val="00170E76"/>
    <w:rsid w:val="00173462"/>
    <w:rsid w:val="00173C22"/>
    <w:rsid w:val="00174677"/>
    <w:rsid w:val="00176D11"/>
    <w:rsid w:val="001771FC"/>
    <w:rsid w:val="001774B5"/>
    <w:rsid w:val="001801C6"/>
    <w:rsid w:val="001813E9"/>
    <w:rsid w:val="001822B1"/>
    <w:rsid w:val="00183CA0"/>
    <w:rsid w:val="00184D39"/>
    <w:rsid w:val="00185F6F"/>
    <w:rsid w:val="00185FBD"/>
    <w:rsid w:val="001867CE"/>
    <w:rsid w:val="00190405"/>
    <w:rsid w:val="001904A9"/>
    <w:rsid w:val="001915B7"/>
    <w:rsid w:val="00191928"/>
    <w:rsid w:val="00191DCE"/>
    <w:rsid w:val="00193475"/>
    <w:rsid w:val="00193EB5"/>
    <w:rsid w:val="00193FAB"/>
    <w:rsid w:val="00194818"/>
    <w:rsid w:val="0019598A"/>
    <w:rsid w:val="001A03EC"/>
    <w:rsid w:val="001A137F"/>
    <w:rsid w:val="001A1A24"/>
    <w:rsid w:val="001A2F31"/>
    <w:rsid w:val="001A55D2"/>
    <w:rsid w:val="001A6815"/>
    <w:rsid w:val="001A6F48"/>
    <w:rsid w:val="001B0478"/>
    <w:rsid w:val="001B2B61"/>
    <w:rsid w:val="001B454E"/>
    <w:rsid w:val="001B4CBA"/>
    <w:rsid w:val="001B59AA"/>
    <w:rsid w:val="001B679F"/>
    <w:rsid w:val="001B6D95"/>
    <w:rsid w:val="001B7EA9"/>
    <w:rsid w:val="001C2D5C"/>
    <w:rsid w:val="001C3073"/>
    <w:rsid w:val="001C49D4"/>
    <w:rsid w:val="001C5366"/>
    <w:rsid w:val="001C7B58"/>
    <w:rsid w:val="001D012B"/>
    <w:rsid w:val="001D02E6"/>
    <w:rsid w:val="001D0529"/>
    <w:rsid w:val="001D0545"/>
    <w:rsid w:val="001D0988"/>
    <w:rsid w:val="001D1853"/>
    <w:rsid w:val="001D197C"/>
    <w:rsid w:val="001D1BBE"/>
    <w:rsid w:val="001D2AD6"/>
    <w:rsid w:val="001D62A9"/>
    <w:rsid w:val="001E27F8"/>
    <w:rsid w:val="001E2FA9"/>
    <w:rsid w:val="001E492F"/>
    <w:rsid w:val="001E780E"/>
    <w:rsid w:val="001E7AB8"/>
    <w:rsid w:val="001F2967"/>
    <w:rsid w:val="001F2C99"/>
    <w:rsid w:val="001F569E"/>
    <w:rsid w:val="001F5731"/>
    <w:rsid w:val="001F6241"/>
    <w:rsid w:val="001F6634"/>
    <w:rsid w:val="001F7E43"/>
    <w:rsid w:val="001F7FCF"/>
    <w:rsid w:val="00200B0B"/>
    <w:rsid w:val="0020151C"/>
    <w:rsid w:val="00203338"/>
    <w:rsid w:val="00204770"/>
    <w:rsid w:val="00207926"/>
    <w:rsid w:val="00207D4F"/>
    <w:rsid w:val="00207E2A"/>
    <w:rsid w:val="00210A20"/>
    <w:rsid w:val="00210C31"/>
    <w:rsid w:val="00211FB4"/>
    <w:rsid w:val="002121BA"/>
    <w:rsid w:val="00215AFC"/>
    <w:rsid w:val="002177E5"/>
    <w:rsid w:val="00222DC7"/>
    <w:rsid w:val="00224116"/>
    <w:rsid w:val="0022482D"/>
    <w:rsid w:val="00225403"/>
    <w:rsid w:val="002255ED"/>
    <w:rsid w:val="00227307"/>
    <w:rsid w:val="00227E18"/>
    <w:rsid w:val="00230713"/>
    <w:rsid w:val="002316EE"/>
    <w:rsid w:val="002332D2"/>
    <w:rsid w:val="00235CC3"/>
    <w:rsid w:val="00236DC4"/>
    <w:rsid w:val="002408B2"/>
    <w:rsid w:val="00241475"/>
    <w:rsid w:val="002419EF"/>
    <w:rsid w:val="00245DD2"/>
    <w:rsid w:val="00246262"/>
    <w:rsid w:val="0024737F"/>
    <w:rsid w:val="00247394"/>
    <w:rsid w:val="0025268A"/>
    <w:rsid w:val="00261AF8"/>
    <w:rsid w:val="00264567"/>
    <w:rsid w:val="0026493B"/>
    <w:rsid w:val="00265057"/>
    <w:rsid w:val="00267901"/>
    <w:rsid w:val="00272BBA"/>
    <w:rsid w:val="002762D6"/>
    <w:rsid w:val="00283C4C"/>
    <w:rsid w:val="002854C9"/>
    <w:rsid w:val="00286790"/>
    <w:rsid w:val="00286957"/>
    <w:rsid w:val="00293536"/>
    <w:rsid w:val="00294AB1"/>
    <w:rsid w:val="00295DCD"/>
    <w:rsid w:val="002965F1"/>
    <w:rsid w:val="002969D5"/>
    <w:rsid w:val="002A130D"/>
    <w:rsid w:val="002A3650"/>
    <w:rsid w:val="002A419E"/>
    <w:rsid w:val="002A42A8"/>
    <w:rsid w:val="002A56C6"/>
    <w:rsid w:val="002B1E80"/>
    <w:rsid w:val="002B28F5"/>
    <w:rsid w:val="002B443A"/>
    <w:rsid w:val="002B5B23"/>
    <w:rsid w:val="002B679E"/>
    <w:rsid w:val="002B791A"/>
    <w:rsid w:val="002C1195"/>
    <w:rsid w:val="002C3CDC"/>
    <w:rsid w:val="002C4886"/>
    <w:rsid w:val="002D0321"/>
    <w:rsid w:val="002D18E6"/>
    <w:rsid w:val="002D2540"/>
    <w:rsid w:val="002D5623"/>
    <w:rsid w:val="002D6835"/>
    <w:rsid w:val="002D705B"/>
    <w:rsid w:val="002E13A9"/>
    <w:rsid w:val="002E2EE8"/>
    <w:rsid w:val="002E5322"/>
    <w:rsid w:val="002E579F"/>
    <w:rsid w:val="002E58E4"/>
    <w:rsid w:val="002E74FD"/>
    <w:rsid w:val="002E7BB9"/>
    <w:rsid w:val="002F0FDB"/>
    <w:rsid w:val="002F0FDD"/>
    <w:rsid w:val="002F1033"/>
    <w:rsid w:val="002F2E47"/>
    <w:rsid w:val="002F3EE6"/>
    <w:rsid w:val="002F3FE4"/>
    <w:rsid w:val="002F5906"/>
    <w:rsid w:val="002F6C88"/>
    <w:rsid w:val="002F70E0"/>
    <w:rsid w:val="00300B59"/>
    <w:rsid w:val="00301617"/>
    <w:rsid w:val="00301792"/>
    <w:rsid w:val="0030210B"/>
    <w:rsid w:val="00303E94"/>
    <w:rsid w:val="003057AD"/>
    <w:rsid w:val="00307CE2"/>
    <w:rsid w:val="00310A6E"/>
    <w:rsid w:val="00316731"/>
    <w:rsid w:val="0031734D"/>
    <w:rsid w:val="00317AA3"/>
    <w:rsid w:val="00321E9D"/>
    <w:rsid w:val="00323562"/>
    <w:rsid w:val="00325F5D"/>
    <w:rsid w:val="003261B7"/>
    <w:rsid w:val="00330C0D"/>
    <w:rsid w:val="00331D77"/>
    <w:rsid w:val="0033268D"/>
    <w:rsid w:val="0033607F"/>
    <w:rsid w:val="0033685C"/>
    <w:rsid w:val="00336A16"/>
    <w:rsid w:val="003405AA"/>
    <w:rsid w:val="00340C4F"/>
    <w:rsid w:val="00341D72"/>
    <w:rsid w:val="00342D8D"/>
    <w:rsid w:val="00344D74"/>
    <w:rsid w:val="003466CB"/>
    <w:rsid w:val="0034722E"/>
    <w:rsid w:val="00350277"/>
    <w:rsid w:val="003516DC"/>
    <w:rsid w:val="00352658"/>
    <w:rsid w:val="003538DA"/>
    <w:rsid w:val="00354F4D"/>
    <w:rsid w:val="00356830"/>
    <w:rsid w:val="00357472"/>
    <w:rsid w:val="00360D01"/>
    <w:rsid w:val="003617B6"/>
    <w:rsid w:val="00361837"/>
    <w:rsid w:val="0036240B"/>
    <w:rsid w:val="003630D5"/>
    <w:rsid w:val="00365CF4"/>
    <w:rsid w:val="00371199"/>
    <w:rsid w:val="003717C8"/>
    <w:rsid w:val="0037263B"/>
    <w:rsid w:val="003726CD"/>
    <w:rsid w:val="00373C33"/>
    <w:rsid w:val="0037689C"/>
    <w:rsid w:val="00377F56"/>
    <w:rsid w:val="003807D0"/>
    <w:rsid w:val="003808C4"/>
    <w:rsid w:val="00380F84"/>
    <w:rsid w:val="003820DD"/>
    <w:rsid w:val="0038240C"/>
    <w:rsid w:val="00382A5B"/>
    <w:rsid w:val="00384AB7"/>
    <w:rsid w:val="00386B01"/>
    <w:rsid w:val="00387A67"/>
    <w:rsid w:val="00387FB0"/>
    <w:rsid w:val="003900BD"/>
    <w:rsid w:val="003900CA"/>
    <w:rsid w:val="003915C1"/>
    <w:rsid w:val="00391A0E"/>
    <w:rsid w:val="00393FA7"/>
    <w:rsid w:val="00396749"/>
    <w:rsid w:val="00396BE0"/>
    <w:rsid w:val="003A2076"/>
    <w:rsid w:val="003A2A5A"/>
    <w:rsid w:val="003A3897"/>
    <w:rsid w:val="003A3AAB"/>
    <w:rsid w:val="003A4A35"/>
    <w:rsid w:val="003A69D0"/>
    <w:rsid w:val="003A7153"/>
    <w:rsid w:val="003B5637"/>
    <w:rsid w:val="003B60D7"/>
    <w:rsid w:val="003C0196"/>
    <w:rsid w:val="003C1484"/>
    <w:rsid w:val="003C14EA"/>
    <w:rsid w:val="003C6CA7"/>
    <w:rsid w:val="003D0E72"/>
    <w:rsid w:val="003D1564"/>
    <w:rsid w:val="003D1BFE"/>
    <w:rsid w:val="003D2D00"/>
    <w:rsid w:val="003D2D2B"/>
    <w:rsid w:val="003D456C"/>
    <w:rsid w:val="003D526B"/>
    <w:rsid w:val="003D760F"/>
    <w:rsid w:val="003E0173"/>
    <w:rsid w:val="003E173A"/>
    <w:rsid w:val="003E41FE"/>
    <w:rsid w:val="003E4FBE"/>
    <w:rsid w:val="003E72CC"/>
    <w:rsid w:val="003E7DE7"/>
    <w:rsid w:val="003F065D"/>
    <w:rsid w:val="003F2816"/>
    <w:rsid w:val="003F41CA"/>
    <w:rsid w:val="003F4413"/>
    <w:rsid w:val="003F447C"/>
    <w:rsid w:val="003F5FE8"/>
    <w:rsid w:val="003F6D99"/>
    <w:rsid w:val="003F7F72"/>
    <w:rsid w:val="00402B46"/>
    <w:rsid w:val="00402FA3"/>
    <w:rsid w:val="004049D6"/>
    <w:rsid w:val="00404CDA"/>
    <w:rsid w:val="00404D27"/>
    <w:rsid w:val="00406074"/>
    <w:rsid w:val="00406318"/>
    <w:rsid w:val="00406BD2"/>
    <w:rsid w:val="00407130"/>
    <w:rsid w:val="00407227"/>
    <w:rsid w:val="0040759A"/>
    <w:rsid w:val="0041196A"/>
    <w:rsid w:val="00413664"/>
    <w:rsid w:val="00415BD6"/>
    <w:rsid w:val="00416629"/>
    <w:rsid w:val="0041676C"/>
    <w:rsid w:val="004167FC"/>
    <w:rsid w:val="00421197"/>
    <w:rsid w:val="0042285C"/>
    <w:rsid w:val="00422BC4"/>
    <w:rsid w:val="00424B0C"/>
    <w:rsid w:val="00424CA7"/>
    <w:rsid w:val="00427DC9"/>
    <w:rsid w:val="004308BC"/>
    <w:rsid w:val="00432047"/>
    <w:rsid w:val="00434AA9"/>
    <w:rsid w:val="00434D2E"/>
    <w:rsid w:val="004352B2"/>
    <w:rsid w:val="00437309"/>
    <w:rsid w:val="0044081E"/>
    <w:rsid w:val="00440ED6"/>
    <w:rsid w:val="00441134"/>
    <w:rsid w:val="00441AF9"/>
    <w:rsid w:val="004421B1"/>
    <w:rsid w:val="00446FE4"/>
    <w:rsid w:val="004475F9"/>
    <w:rsid w:val="00451328"/>
    <w:rsid w:val="0045159D"/>
    <w:rsid w:val="004525A6"/>
    <w:rsid w:val="004527C5"/>
    <w:rsid w:val="004527D7"/>
    <w:rsid w:val="0045342C"/>
    <w:rsid w:val="00456C8A"/>
    <w:rsid w:val="00457579"/>
    <w:rsid w:val="00460664"/>
    <w:rsid w:val="00463499"/>
    <w:rsid w:val="00464983"/>
    <w:rsid w:val="00473104"/>
    <w:rsid w:val="004744FF"/>
    <w:rsid w:val="00477195"/>
    <w:rsid w:val="00477A34"/>
    <w:rsid w:val="00482987"/>
    <w:rsid w:val="004830AB"/>
    <w:rsid w:val="00483B44"/>
    <w:rsid w:val="004858C8"/>
    <w:rsid w:val="004863C4"/>
    <w:rsid w:val="00486432"/>
    <w:rsid w:val="0048659C"/>
    <w:rsid w:val="0049022F"/>
    <w:rsid w:val="00490EB8"/>
    <w:rsid w:val="004914FA"/>
    <w:rsid w:val="00491898"/>
    <w:rsid w:val="004953CF"/>
    <w:rsid w:val="00496DD8"/>
    <w:rsid w:val="00497F77"/>
    <w:rsid w:val="004A143A"/>
    <w:rsid w:val="004A3D84"/>
    <w:rsid w:val="004A3F8C"/>
    <w:rsid w:val="004A7A81"/>
    <w:rsid w:val="004B055D"/>
    <w:rsid w:val="004B24A5"/>
    <w:rsid w:val="004B290F"/>
    <w:rsid w:val="004B4B92"/>
    <w:rsid w:val="004B73C9"/>
    <w:rsid w:val="004C0CAD"/>
    <w:rsid w:val="004C23F7"/>
    <w:rsid w:val="004C2447"/>
    <w:rsid w:val="004C3FFA"/>
    <w:rsid w:val="004C4C7C"/>
    <w:rsid w:val="004C74C8"/>
    <w:rsid w:val="004C7C74"/>
    <w:rsid w:val="004C7CD8"/>
    <w:rsid w:val="004D34F8"/>
    <w:rsid w:val="004D43B3"/>
    <w:rsid w:val="004D5F8F"/>
    <w:rsid w:val="004D62F1"/>
    <w:rsid w:val="004D69C2"/>
    <w:rsid w:val="004D6ABA"/>
    <w:rsid w:val="004E3986"/>
    <w:rsid w:val="004E3F48"/>
    <w:rsid w:val="004F0B84"/>
    <w:rsid w:val="004F0C09"/>
    <w:rsid w:val="004F0DC8"/>
    <w:rsid w:val="004F39B1"/>
    <w:rsid w:val="005001D4"/>
    <w:rsid w:val="005028FD"/>
    <w:rsid w:val="00504A03"/>
    <w:rsid w:val="00506D22"/>
    <w:rsid w:val="00507174"/>
    <w:rsid w:val="005071FF"/>
    <w:rsid w:val="00507B7F"/>
    <w:rsid w:val="00511CAC"/>
    <w:rsid w:val="0051389A"/>
    <w:rsid w:val="0051488F"/>
    <w:rsid w:val="00514A9D"/>
    <w:rsid w:val="00514C6B"/>
    <w:rsid w:val="00516193"/>
    <w:rsid w:val="00520BF0"/>
    <w:rsid w:val="00521531"/>
    <w:rsid w:val="005238F0"/>
    <w:rsid w:val="00525503"/>
    <w:rsid w:val="00526405"/>
    <w:rsid w:val="00526AB2"/>
    <w:rsid w:val="005271B3"/>
    <w:rsid w:val="00530640"/>
    <w:rsid w:val="005320A4"/>
    <w:rsid w:val="00532594"/>
    <w:rsid w:val="005328B1"/>
    <w:rsid w:val="00534FBF"/>
    <w:rsid w:val="0054011D"/>
    <w:rsid w:val="0054012A"/>
    <w:rsid w:val="0054016D"/>
    <w:rsid w:val="00541E39"/>
    <w:rsid w:val="00542FEB"/>
    <w:rsid w:val="0054382D"/>
    <w:rsid w:val="00546EF0"/>
    <w:rsid w:val="005476C4"/>
    <w:rsid w:val="00552229"/>
    <w:rsid w:val="00553991"/>
    <w:rsid w:val="00556974"/>
    <w:rsid w:val="00556DFC"/>
    <w:rsid w:val="005571D3"/>
    <w:rsid w:val="00557D5A"/>
    <w:rsid w:val="00557E9E"/>
    <w:rsid w:val="00560C20"/>
    <w:rsid w:val="005630E5"/>
    <w:rsid w:val="0056485C"/>
    <w:rsid w:val="00565F8B"/>
    <w:rsid w:val="00570CC9"/>
    <w:rsid w:val="00571651"/>
    <w:rsid w:val="00571AAE"/>
    <w:rsid w:val="00572C00"/>
    <w:rsid w:val="00572CEB"/>
    <w:rsid w:val="00573486"/>
    <w:rsid w:val="00573E08"/>
    <w:rsid w:val="00575954"/>
    <w:rsid w:val="00577163"/>
    <w:rsid w:val="0057780B"/>
    <w:rsid w:val="00582DE7"/>
    <w:rsid w:val="00583BD2"/>
    <w:rsid w:val="00583FA9"/>
    <w:rsid w:val="00585243"/>
    <w:rsid w:val="005855B4"/>
    <w:rsid w:val="0058630F"/>
    <w:rsid w:val="00586B82"/>
    <w:rsid w:val="005871AA"/>
    <w:rsid w:val="0059257A"/>
    <w:rsid w:val="0059397B"/>
    <w:rsid w:val="00593D63"/>
    <w:rsid w:val="00594ACD"/>
    <w:rsid w:val="005963CE"/>
    <w:rsid w:val="005970A4"/>
    <w:rsid w:val="005A1294"/>
    <w:rsid w:val="005A13B6"/>
    <w:rsid w:val="005A3684"/>
    <w:rsid w:val="005A3B29"/>
    <w:rsid w:val="005B07A3"/>
    <w:rsid w:val="005B0F98"/>
    <w:rsid w:val="005B344D"/>
    <w:rsid w:val="005B5065"/>
    <w:rsid w:val="005B6438"/>
    <w:rsid w:val="005B7358"/>
    <w:rsid w:val="005C148F"/>
    <w:rsid w:val="005C1FB3"/>
    <w:rsid w:val="005C3A99"/>
    <w:rsid w:val="005C42A4"/>
    <w:rsid w:val="005C50AB"/>
    <w:rsid w:val="005C59CD"/>
    <w:rsid w:val="005C6A60"/>
    <w:rsid w:val="005D0267"/>
    <w:rsid w:val="005D0509"/>
    <w:rsid w:val="005D06DC"/>
    <w:rsid w:val="005D1B98"/>
    <w:rsid w:val="005D2B35"/>
    <w:rsid w:val="005D36FC"/>
    <w:rsid w:val="005D39D8"/>
    <w:rsid w:val="005D47F5"/>
    <w:rsid w:val="005D54B1"/>
    <w:rsid w:val="005D5A42"/>
    <w:rsid w:val="005D75CF"/>
    <w:rsid w:val="005E0D88"/>
    <w:rsid w:val="005E2F30"/>
    <w:rsid w:val="005E322E"/>
    <w:rsid w:val="005E49B8"/>
    <w:rsid w:val="005E4D10"/>
    <w:rsid w:val="005E6CCE"/>
    <w:rsid w:val="005F1358"/>
    <w:rsid w:val="005F1A0D"/>
    <w:rsid w:val="005F2C75"/>
    <w:rsid w:val="005F5593"/>
    <w:rsid w:val="005F5FF4"/>
    <w:rsid w:val="005F6D51"/>
    <w:rsid w:val="00600236"/>
    <w:rsid w:val="0060163B"/>
    <w:rsid w:val="00601F7C"/>
    <w:rsid w:val="00602672"/>
    <w:rsid w:val="00602C83"/>
    <w:rsid w:val="00602FC9"/>
    <w:rsid w:val="0060373A"/>
    <w:rsid w:val="006037D8"/>
    <w:rsid w:val="00605309"/>
    <w:rsid w:val="00606403"/>
    <w:rsid w:val="00607BD7"/>
    <w:rsid w:val="00612344"/>
    <w:rsid w:val="006129D5"/>
    <w:rsid w:val="00613F70"/>
    <w:rsid w:val="00615CBE"/>
    <w:rsid w:val="00616136"/>
    <w:rsid w:val="00617377"/>
    <w:rsid w:val="00620EFC"/>
    <w:rsid w:val="0062388A"/>
    <w:rsid w:val="006238E5"/>
    <w:rsid w:val="00623BEC"/>
    <w:rsid w:val="00623DF4"/>
    <w:rsid w:val="00625E12"/>
    <w:rsid w:val="00626371"/>
    <w:rsid w:val="006263BA"/>
    <w:rsid w:val="00627041"/>
    <w:rsid w:val="00630FFF"/>
    <w:rsid w:val="0063379E"/>
    <w:rsid w:val="006338DA"/>
    <w:rsid w:val="00633E5B"/>
    <w:rsid w:val="00635729"/>
    <w:rsid w:val="00637550"/>
    <w:rsid w:val="00640BEE"/>
    <w:rsid w:val="0064102C"/>
    <w:rsid w:val="006413B2"/>
    <w:rsid w:val="00641B51"/>
    <w:rsid w:val="00643CF9"/>
    <w:rsid w:val="00644334"/>
    <w:rsid w:val="00646825"/>
    <w:rsid w:val="00647945"/>
    <w:rsid w:val="006502B6"/>
    <w:rsid w:val="00650E1D"/>
    <w:rsid w:val="00651F7C"/>
    <w:rsid w:val="0065529C"/>
    <w:rsid w:val="00655EB5"/>
    <w:rsid w:val="00656F08"/>
    <w:rsid w:val="0066050D"/>
    <w:rsid w:val="00660B57"/>
    <w:rsid w:val="00660D8F"/>
    <w:rsid w:val="00662450"/>
    <w:rsid w:val="00662609"/>
    <w:rsid w:val="006647AF"/>
    <w:rsid w:val="006704EB"/>
    <w:rsid w:val="00673941"/>
    <w:rsid w:val="00675C03"/>
    <w:rsid w:val="00676200"/>
    <w:rsid w:val="00676256"/>
    <w:rsid w:val="00676F80"/>
    <w:rsid w:val="006807BB"/>
    <w:rsid w:val="006815CE"/>
    <w:rsid w:val="00683811"/>
    <w:rsid w:val="00683C35"/>
    <w:rsid w:val="006844F1"/>
    <w:rsid w:val="00684F53"/>
    <w:rsid w:val="006855B0"/>
    <w:rsid w:val="006856FB"/>
    <w:rsid w:val="00686275"/>
    <w:rsid w:val="0068685F"/>
    <w:rsid w:val="00686C04"/>
    <w:rsid w:val="0069073D"/>
    <w:rsid w:val="00691A6C"/>
    <w:rsid w:val="006928ED"/>
    <w:rsid w:val="00696C45"/>
    <w:rsid w:val="006A0A54"/>
    <w:rsid w:val="006A0D6C"/>
    <w:rsid w:val="006A1886"/>
    <w:rsid w:val="006A27D8"/>
    <w:rsid w:val="006A2B4C"/>
    <w:rsid w:val="006A2CB6"/>
    <w:rsid w:val="006A3BE2"/>
    <w:rsid w:val="006A59CA"/>
    <w:rsid w:val="006A5CF3"/>
    <w:rsid w:val="006A5D8D"/>
    <w:rsid w:val="006A74C1"/>
    <w:rsid w:val="006B10FF"/>
    <w:rsid w:val="006B2171"/>
    <w:rsid w:val="006B3E3D"/>
    <w:rsid w:val="006B3FDA"/>
    <w:rsid w:val="006B4324"/>
    <w:rsid w:val="006B5A36"/>
    <w:rsid w:val="006C000F"/>
    <w:rsid w:val="006C2B18"/>
    <w:rsid w:val="006C3A60"/>
    <w:rsid w:val="006C4971"/>
    <w:rsid w:val="006C78F9"/>
    <w:rsid w:val="006D29FA"/>
    <w:rsid w:val="006D31CC"/>
    <w:rsid w:val="006D3AC6"/>
    <w:rsid w:val="006D466F"/>
    <w:rsid w:val="006D6FEC"/>
    <w:rsid w:val="006E0F0F"/>
    <w:rsid w:val="006E297D"/>
    <w:rsid w:val="006E2ED6"/>
    <w:rsid w:val="006E3997"/>
    <w:rsid w:val="006E39F8"/>
    <w:rsid w:val="006E42AF"/>
    <w:rsid w:val="006E5458"/>
    <w:rsid w:val="006F0295"/>
    <w:rsid w:val="006F2994"/>
    <w:rsid w:val="006F6B09"/>
    <w:rsid w:val="006F7F40"/>
    <w:rsid w:val="007006F5"/>
    <w:rsid w:val="007009A0"/>
    <w:rsid w:val="00701441"/>
    <w:rsid w:val="00703920"/>
    <w:rsid w:val="007045CB"/>
    <w:rsid w:val="00704F5D"/>
    <w:rsid w:val="007109D1"/>
    <w:rsid w:val="0071125D"/>
    <w:rsid w:val="0071222B"/>
    <w:rsid w:val="00712776"/>
    <w:rsid w:val="00713B86"/>
    <w:rsid w:val="007148CC"/>
    <w:rsid w:val="0071670C"/>
    <w:rsid w:val="00717BDA"/>
    <w:rsid w:val="00721343"/>
    <w:rsid w:val="00725396"/>
    <w:rsid w:val="00725922"/>
    <w:rsid w:val="0073340E"/>
    <w:rsid w:val="00736B41"/>
    <w:rsid w:val="007432BA"/>
    <w:rsid w:val="00743C61"/>
    <w:rsid w:val="00745853"/>
    <w:rsid w:val="00745D75"/>
    <w:rsid w:val="007476B0"/>
    <w:rsid w:val="00750BB0"/>
    <w:rsid w:val="0075237D"/>
    <w:rsid w:val="00753943"/>
    <w:rsid w:val="0075537D"/>
    <w:rsid w:val="00756D27"/>
    <w:rsid w:val="007603A0"/>
    <w:rsid w:val="007607D8"/>
    <w:rsid w:val="00760D4F"/>
    <w:rsid w:val="00760F0F"/>
    <w:rsid w:val="0076329E"/>
    <w:rsid w:val="00764C46"/>
    <w:rsid w:val="007650C2"/>
    <w:rsid w:val="00765732"/>
    <w:rsid w:val="00765FEA"/>
    <w:rsid w:val="00767761"/>
    <w:rsid w:val="007701DD"/>
    <w:rsid w:val="00770524"/>
    <w:rsid w:val="007720FE"/>
    <w:rsid w:val="0077458D"/>
    <w:rsid w:val="00774713"/>
    <w:rsid w:val="00774C35"/>
    <w:rsid w:val="007763E5"/>
    <w:rsid w:val="00776CC7"/>
    <w:rsid w:val="007770DD"/>
    <w:rsid w:val="00777890"/>
    <w:rsid w:val="00781572"/>
    <w:rsid w:val="0078457B"/>
    <w:rsid w:val="00784A7F"/>
    <w:rsid w:val="00785970"/>
    <w:rsid w:val="00785CEB"/>
    <w:rsid w:val="007862B2"/>
    <w:rsid w:val="00787DB4"/>
    <w:rsid w:val="00791857"/>
    <w:rsid w:val="00791B09"/>
    <w:rsid w:val="00792159"/>
    <w:rsid w:val="00793668"/>
    <w:rsid w:val="007945D0"/>
    <w:rsid w:val="00795109"/>
    <w:rsid w:val="00795869"/>
    <w:rsid w:val="00795E11"/>
    <w:rsid w:val="00796E2A"/>
    <w:rsid w:val="007A2B3F"/>
    <w:rsid w:val="007A4B8C"/>
    <w:rsid w:val="007B2EDC"/>
    <w:rsid w:val="007B3394"/>
    <w:rsid w:val="007B54E2"/>
    <w:rsid w:val="007B561D"/>
    <w:rsid w:val="007B690F"/>
    <w:rsid w:val="007B6E1D"/>
    <w:rsid w:val="007C02A7"/>
    <w:rsid w:val="007C054D"/>
    <w:rsid w:val="007C2B02"/>
    <w:rsid w:val="007C2E3E"/>
    <w:rsid w:val="007C3254"/>
    <w:rsid w:val="007C352B"/>
    <w:rsid w:val="007C3803"/>
    <w:rsid w:val="007C6BB0"/>
    <w:rsid w:val="007D024B"/>
    <w:rsid w:val="007D442F"/>
    <w:rsid w:val="007D67CA"/>
    <w:rsid w:val="007D6827"/>
    <w:rsid w:val="007D6F7E"/>
    <w:rsid w:val="007E0D55"/>
    <w:rsid w:val="007E15A7"/>
    <w:rsid w:val="007E1ACB"/>
    <w:rsid w:val="007E246C"/>
    <w:rsid w:val="007E365B"/>
    <w:rsid w:val="007E3DF1"/>
    <w:rsid w:val="007F083A"/>
    <w:rsid w:val="007F10D9"/>
    <w:rsid w:val="007F48F5"/>
    <w:rsid w:val="007F4903"/>
    <w:rsid w:val="007F5A43"/>
    <w:rsid w:val="007F6599"/>
    <w:rsid w:val="007F6DCC"/>
    <w:rsid w:val="0080145C"/>
    <w:rsid w:val="00801C34"/>
    <w:rsid w:val="00805987"/>
    <w:rsid w:val="00807692"/>
    <w:rsid w:val="0081021C"/>
    <w:rsid w:val="00810309"/>
    <w:rsid w:val="008129C8"/>
    <w:rsid w:val="00814A9E"/>
    <w:rsid w:val="008177D0"/>
    <w:rsid w:val="008179ED"/>
    <w:rsid w:val="00826832"/>
    <w:rsid w:val="00826993"/>
    <w:rsid w:val="00827E18"/>
    <w:rsid w:val="00831F7B"/>
    <w:rsid w:val="00832621"/>
    <w:rsid w:val="00832DAC"/>
    <w:rsid w:val="00835B59"/>
    <w:rsid w:val="00836735"/>
    <w:rsid w:val="0083678D"/>
    <w:rsid w:val="0083785F"/>
    <w:rsid w:val="00840DC2"/>
    <w:rsid w:val="008454B4"/>
    <w:rsid w:val="00845F7B"/>
    <w:rsid w:val="00851531"/>
    <w:rsid w:val="00852583"/>
    <w:rsid w:val="00853EB5"/>
    <w:rsid w:val="0085616E"/>
    <w:rsid w:val="00856820"/>
    <w:rsid w:val="00857A61"/>
    <w:rsid w:val="0086100B"/>
    <w:rsid w:val="00863BAC"/>
    <w:rsid w:val="00863C04"/>
    <w:rsid w:val="00864AB6"/>
    <w:rsid w:val="008655B3"/>
    <w:rsid w:val="00870756"/>
    <w:rsid w:val="008723F2"/>
    <w:rsid w:val="008750A0"/>
    <w:rsid w:val="00875B11"/>
    <w:rsid w:val="00875E52"/>
    <w:rsid w:val="00876F05"/>
    <w:rsid w:val="0087717F"/>
    <w:rsid w:val="00883A75"/>
    <w:rsid w:val="0088415A"/>
    <w:rsid w:val="00884942"/>
    <w:rsid w:val="008865E9"/>
    <w:rsid w:val="00887DE4"/>
    <w:rsid w:val="00891D9D"/>
    <w:rsid w:val="00891DF7"/>
    <w:rsid w:val="00893439"/>
    <w:rsid w:val="00893EF3"/>
    <w:rsid w:val="00894E53"/>
    <w:rsid w:val="00896260"/>
    <w:rsid w:val="008962F0"/>
    <w:rsid w:val="008964D2"/>
    <w:rsid w:val="00896A71"/>
    <w:rsid w:val="00896B3C"/>
    <w:rsid w:val="008A055D"/>
    <w:rsid w:val="008A24B6"/>
    <w:rsid w:val="008A4A99"/>
    <w:rsid w:val="008A709B"/>
    <w:rsid w:val="008B02AB"/>
    <w:rsid w:val="008B0F7F"/>
    <w:rsid w:val="008B281C"/>
    <w:rsid w:val="008B375C"/>
    <w:rsid w:val="008B3B21"/>
    <w:rsid w:val="008C27C6"/>
    <w:rsid w:val="008C6664"/>
    <w:rsid w:val="008C66FF"/>
    <w:rsid w:val="008C6967"/>
    <w:rsid w:val="008C7C51"/>
    <w:rsid w:val="008C7DB3"/>
    <w:rsid w:val="008D031E"/>
    <w:rsid w:val="008D07AC"/>
    <w:rsid w:val="008D08B3"/>
    <w:rsid w:val="008D0B25"/>
    <w:rsid w:val="008D1979"/>
    <w:rsid w:val="008D28F3"/>
    <w:rsid w:val="008D32F8"/>
    <w:rsid w:val="008D436B"/>
    <w:rsid w:val="008E0214"/>
    <w:rsid w:val="008E0D96"/>
    <w:rsid w:val="008E1ADE"/>
    <w:rsid w:val="008E38CE"/>
    <w:rsid w:val="008E5D4B"/>
    <w:rsid w:val="008E7C76"/>
    <w:rsid w:val="008F0583"/>
    <w:rsid w:val="008F2999"/>
    <w:rsid w:val="008F33FE"/>
    <w:rsid w:val="008F684C"/>
    <w:rsid w:val="00901822"/>
    <w:rsid w:val="00901FEC"/>
    <w:rsid w:val="0090204F"/>
    <w:rsid w:val="00902623"/>
    <w:rsid w:val="0090576E"/>
    <w:rsid w:val="00906721"/>
    <w:rsid w:val="00912C07"/>
    <w:rsid w:val="00912D5E"/>
    <w:rsid w:val="009135FE"/>
    <w:rsid w:val="00913AAA"/>
    <w:rsid w:val="00913BF4"/>
    <w:rsid w:val="00915910"/>
    <w:rsid w:val="009174D5"/>
    <w:rsid w:val="009202A5"/>
    <w:rsid w:val="0092275A"/>
    <w:rsid w:val="00924489"/>
    <w:rsid w:val="00924A24"/>
    <w:rsid w:val="00926370"/>
    <w:rsid w:val="0092701A"/>
    <w:rsid w:val="00927871"/>
    <w:rsid w:val="00932505"/>
    <w:rsid w:val="00936D1B"/>
    <w:rsid w:val="009370C5"/>
    <w:rsid w:val="0093792E"/>
    <w:rsid w:val="00937CE5"/>
    <w:rsid w:val="0094034F"/>
    <w:rsid w:val="00947667"/>
    <w:rsid w:val="00947BD6"/>
    <w:rsid w:val="0095063E"/>
    <w:rsid w:val="009514CD"/>
    <w:rsid w:val="009527A4"/>
    <w:rsid w:val="00952F26"/>
    <w:rsid w:val="00952F3E"/>
    <w:rsid w:val="00953A71"/>
    <w:rsid w:val="0095609F"/>
    <w:rsid w:val="00957395"/>
    <w:rsid w:val="00957B3C"/>
    <w:rsid w:val="009616DB"/>
    <w:rsid w:val="009628C3"/>
    <w:rsid w:val="00963842"/>
    <w:rsid w:val="00963A6E"/>
    <w:rsid w:val="00964F1F"/>
    <w:rsid w:val="009650ED"/>
    <w:rsid w:val="00966879"/>
    <w:rsid w:val="00966B67"/>
    <w:rsid w:val="00967318"/>
    <w:rsid w:val="009674E1"/>
    <w:rsid w:val="00971298"/>
    <w:rsid w:val="00971CCE"/>
    <w:rsid w:val="0097232B"/>
    <w:rsid w:val="00974FC2"/>
    <w:rsid w:val="009756CA"/>
    <w:rsid w:val="00975E62"/>
    <w:rsid w:val="009774AF"/>
    <w:rsid w:val="00980667"/>
    <w:rsid w:val="00980A5C"/>
    <w:rsid w:val="009810F2"/>
    <w:rsid w:val="00981DF9"/>
    <w:rsid w:val="009820F8"/>
    <w:rsid w:val="009825A0"/>
    <w:rsid w:val="009856F4"/>
    <w:rsid w:val="009863A7"/>
    <w:rsid w:val="009876B4"/>
    <w:rsid w:val="009907FF"/>
    <w:rsid w:val="00990FC1"/>
    <w:rsid w:val="00991EF5"/>
    <w:rsid w:val="00992BF9"/>
    <w:rsid w:val="009932F2"/>
    <w:rsid w:val="00993801"/>
    <w:rsid w:val="009950CE"/>
    <w:rsid w:val="00996D26"/>
    <w:rsid w:val="00996DBF"/>
    <w:rsid w:val="009A0447"/>
    <w:rsid w:val="009A15AC"/>
    <w:rsid w:val="009A18F8"/>
    <w:rsid w:val="009A2B0A"/>
    <w:rsid w:val="009A3C71"/>
    <w:rsid w:val="009A44A4"/>
    <w:rsid w:val="009B117A"/>
    <w:rsid w:val="009B1260"/>
    <w:rsid w:val="009B1FFB"/>
    <w:rsid w:val="009B3A1D"/>
    <w:rsid w:val="009B43C5"/>
    <w:rsid w:val="009B4D03"/>
    <w:rsid w:val="009B50A3"/>
    <w:rsid w:val="009B5E51"/>
    <w:rsid w:val="009B7074"/>
    <w:rsid w:val="009B70D0"/>
    <w:rsid w:val="009C16B1"/>
    <w:rsid w:val="009C22C4"/>
    <w:rsid w:val="009C3338"/>
    <w:rsid w:val="009C33C0"/>
    <w:rsid w:val="009C5C5C"/>
    <w:rsid w:val="009D009F"/>
    <w:rsid w:val="009D0525"/>
    <w:rsid w:val="009D2EF1"/>
    <w:rsid w:val="009D3364"/>
    <w:rsid w:val="009D36C3"/>
    <w:rsid w:val="009D5103"/>
    <w:rsid w:val="009D6462"/>
    <w:rsid w:val="009D67F0"/>
    <w:rsid w:val="009D68B8"/>
    <w:rsid w:val="009E0111"/>
    <w:rsid w:val="009E19FB"/>
    <w:rsid w:val="009E32AA"/>
    <w:rsid w:val="009E38A6"/>
    <w:rsid w:val="009E60F7"/>
    <w:rsid w:val="009E640B"/>
    <w:rsid w:val="009E7A0E"/>
    <w:rsid w:val="009E7F75"/>
    <w:rsid w:val="009F137E"/>
    <w:rsid w:val="009F4741"/>
    <w:rsid w:val="009F756A"/>
    <w:rsid w:val="00A00461"/>
    <w:rsid w:val="00A01A7D"/>
    <w:rsid w:val="00A022A6"/>
    <w:rsid w:val="00A03188"/>
    <w:rsid w:val="00A04543"/>
    <w:rsid w:val="00A10B41"/>
    <w:rsid w:val="00A13014"/>
    <w:rsid w:val="00A15A0D"/>
    <w:rsid w:val="00A1614A"/>
    <w:rsid w:val="00A16C94"/>
    <w:rsid w:val="00A22FD6"/>
    <w:rsid w:val="00A23F59"/>
    <w:rsid w:val="00A23F88"/>
    <w:rsid w:val="00A3047F"/>
    <w:rsid w:val="00A31129"/>
    <w:rsid w:val="00A32F67"/>
    <w:rsid w:val="00A34058"/>
    <w:rsid w:val="00A35426"/>
    <w:rsid w:val="00A35E74"/>
    <w:rsid w:val="00A36A55"/>
    <w:rsid w:val="00A4260C"/>
    <w:rsid w:val="00A42CC2"/>
    <w:rsid w:val="00A42DBA"/>
    <w:rsid w:val="00A43743"/>
    <w:rsid w:val="00A44503"/>
    <w:rsid w:val="00A44763"/>
    <w:rsid w:val="00A47906"/>
    <w:rsid w:val="00A52074"/>
    <w:rsid w:val="00A5472B"/>
    <w:rsid w:val="00A54A65"/>
    <w:rsid w:val="00A56722"/>
    <w:rsid w:val="00A5678C"/>
    <w:rsid w:val="00A56860"/>
    <w:rsid w:val="00A607E3"/>
    <w:rsid w:val="00A60BE0"/>
    <w:rsid w:val="00A63579"/>
    <w:rsid w:val="00A650B3"/>
    <w:rsid w:val="00A65E0E"/>
    <w:rsid w:val="00A70768"/>
    <w:rsid w:val="00A70792"/>
    <w:rsid w:val="00A71F9A"/>
    <w:rsid w:val="00A778EC"/>
    <w:rsid w:val="00A81621"/>
    <w:rsid w:val="00A82A06"/>
    <w:rsid w:val="00A83E24"/>
    <w:rsid w:val="00A85B79"/>
    <w:rsid w:val="00A8654D"/>
    <w:rsid w:val="00A867A5"/>
    <w:rsid w:val="00A87932"/>
    <w:rsid w:val="00A92CFC"/>
    <w:rsid w:val="00A9343A"/>
    <w:rsid w:val="00A93DA2"/>
    <w:rsid w:val="00A96FEF"/>
    <w:rsid w:val="00AA0333"/>
    <w:rsid w:val="00AA0B79"/>
    <w:rsid w:val="00AA1210"/>
    <w:rsid w:val="00AA361F"/>
    <w:rsid w:val="00AA47F3"/>
    <w:rsid w:val="00AA4CA3"/>
    <w:rsid w:val="00AA5A66"/>
    <w:rsid w:val="00AB37BB"/>
    <w:rsid w:val="00AB4A70"/>
    <w:rsid w:val="00AB5162"/>
    <w:rsid w:val="00AB6E6B"/>
    <w:rsid w:val="00AB6F49"/>
    <w:rsid w:val="00AB7120"/>
    <w:rsid w:val="00AC079E"/>
    <w:rsid w:val="00AC33FB"/>
    <w:rsid w:val="00AC3BBC"/>
    <w:rsid w:val="00AC4029"/>
    <w:rsid w:val="00AC5B4D"/>
    <w:rsid w:val="00AD0289"/>
    <w:rsid w:val="00AD2BE3"/>
    <w:rsid w:val="00AD39F4"/>
    <w:rsid w:val="00AD5C63"/>
    <w:rsid w:val="00AD686E"/>
    <w:rsid w:val="00AD7983"/>
    <w:rsid w:val="00AD7FB4"/>
    <w:rsid w:val="00AE1F74"/>
    <w:rsid w:val="00AE2F45"/>
    <w:rsid w:val="00AE4153"/>
    <w:rsid w:val="00AE68C5"/>
    <w:rsid w:val="00AF0CB8"/>
    <w:rsid w:val="00AF19DC"/>
    <w:rsid w:val="00AF2F80"/>
    <w:rsid w:val="00AF4164"/>
    <w:rsid w:val="00AF4196"/>
    <w:rsid w:val="00AF4259"/>
    <w:rsid w:val="00AF45ED"/>
    <w:rsid w:val="00AF6BBB"/>
    <w:rsid w:val="00B002C3"/>
    <w:rsid w:val="00B00428"/>
    <w:rsid w:val="00B00CA6"/>
    <w:rsid w:val="00B024A5"/>
    <w:rsid w:val="00B029F5"/>
    <w:rsid w:val="00B03861"/>
    <w:rsid w:val="00B04B4E"/>
    <w:rsid w:val="00B05FD3"/>
    <w:rsid w:val="00B077D2"/>
    <w:rsid w:val="00B07D0B"/>
    <w:rsid w:val="00B11795"/>
    <w:rsid w:val="00B12907"/>
    <w:rsid w:val="00B156C6"/>
    <w:rsid w:val="00B168D6"/>
    <w:rsid w:val="00B20271"/>
    <w:rsid w:val="00B215C7"/>
    <w:rsid w:val="00B215D6"/>
    <w:rsid w:val="00B21CF3"/>
    <w:rsid w:val="00B2238E"/>
    <w:rsid w:val="00B2290B"/>
    <w:rsid w:val="00B22B9C"/>
    <w:rsid w:val="00B22EFC"/>
    <w:rsid w:val="00B239DF"/>
    <w:rsid w:val="00B23C80"/>
    <w:rsid w:val="00B24106"/>
    <w:rsid w:val="00B2420A"/>
    <w:rsid w:val="00B263DD"/>
    <w:rsid w:val="00B27117"/>
    <w:rsid w:val="00B30F1C"/>
    <w:rsid w:val="00B32289"/>
    <w:rsid w:val="00B3442D"/>
    <w:rsid w:val="00B35BBF"/>
    <w:rsid w:val="00B442D3"/>
    <w:rsid w:val="00B45AD9"/>
    <w:rsid w:val="00B45F03"/>
    <w:rsid w:val="00B4611F"/>
    <w:rsid w:val="00B4756F"/>
    <w:rsid w:val="00B514C9"/>
    <w:rsid w:val="00B51DE8"/>
    <w:rsid w:val="00B56A5D"/>
    <w:rsid w:val="00B57E3D"/>
    <w:rsid w:val="00B601E6"/>
    <w:rsid w:val="00B608C7"/>
    <w:rsid w:val="00B61129"/>
    <w:rsid w:val="00B623BB"/>
    <w:rsid w:val="00B62461"/>
    <w:rsid w:val="00B62B43"/>
    <w:rsid w:val="00B63086"/>
    <w:rsid w:val="00B638FF"/>
    <w:rsid w:val="00B66C18"/>
    <w:rsid w:val="00B6749B"/>
    <w:rsid w:val="00B70047"/>
    <w:rsid w:val="00B7241A"/>
    <w:rsid w:val="00B75CD3"/>
    <w:rsid w:val="00B765C4"/>
    <w:rsid w:val="00B77105"/>
    <w:rsid w:val="00B82BEB"/>
    <w:rsid w:val="00B84D54"/>
    <w:rsid w:val="00B851F0"/>
    <w:rsid w:val="00B85437"/>
    <w:rsid w:val="00B85F11"/>
    <w:rsid w:val="00B86201"/>
    <w:rsid w:val="00B86706"/>
    <w:rsid w:val="00B86DA9"/>
    <w:rsid w:val="00B91505"/>
    <w:rsid w:val="00B91E79"/>
    <w:rsid w:val="00B92C25"/>
    <w:rsid w:val="00B97CA0"/>
    <w:rsid w:val="00BA2947"/>
    <w:rsid w:val="00BA2D23"/>
    <w:rsid w:val="00BA35E8"/>
    <w:rsid w:val="00BA447B"/>
    <w:rsid w:val="00BA5E9B"/>
    <w:rsid w:val="00BA6063"/>
    <w:rsid w:val="00BA76A7"/>
    <w:rsid w:val="00BB3DE9"/>
    <w:rsid w:val="00BB4828"/>
    <w:rsid w:val="00BB5DA5"/>
    <w:rsid w:val="00BB6865"/>
    <w:rsid w:val="00BB69AB"/>
    <w:rsid w:val="00BB734E"/>
    <w:rsid w:val="00BC0C8B"/>
    <w:rsid w:val="00BC3EF8"/>
    <w:rsid w:val="00BC49AA"/>
    <w:rsid w:val="00BC4F87"/>
    <w:rsid w:val="00BC7619"/>
    <w:rsid w:val="00BD2422"/>
    <w:rsid w:val="00BD3669"/>
    <w:rsid w:val="00BD4A0E"/>
    <w:rsid w:val="00BD5552"/>
    <w:rsid w:val="00BD6042"/>
    <w:rsid w:val="00BD7B84"/>
    <w:rsid w:val="00BE0545"/>
    <w:rsid w:val="00BE13C2"/>
    <w:rsid w:val="00BE53AF"/>
    <w:rsid w:val="00BE5E61"/>
    <w:rsid w:val="00BE68B2"/>
    <w:rsid w:val="00BF0364"/>
    <w:rsid w:val="00BF2003"/>
    <w:rsid w:val="00BF3387"/>
    <w:rsid w:val="00BF34F4"/>
    <w:rsid w:val="00BF73D8"/>
    <w:rsid w:val="00C00B71"/>
    <w:rsid w:val="00C01571"/>
    <w:rsid w:val="00C0280F"/>
    <w:rsid w:val="00C02B1B"/>
    <w:rsid w:val="00C03DFF"/>
    <w:rsid w:val="00C0476D"/>
    <w:rsid w:val="00C05FD9"/>
    <w:rsid w:val="00C07245"/>
    <w:rsid w:val="00C07EF2"/>
    <w:rsid w:val="00C11E4B"/>
    <w:rsid w:val="00C13251"/>
    <w:rsid w:val="00C14A1C"/>
    <w:rsid w:val="00C2197A"/>
    <w:rsid w:val="00C21EE8"/>
    <w:rsid w:val="00C22697"/>
    <w:rsid w:val="00C22CA2"/>
    <w:rsid w:val="00C244BF"/>
    <w:rsid w:val="00C24BB2"/>
    <w:rsid w:val="00C2795E"/>
    <w:rsid w:val="00C307DD"/>
    <w:rsid w:val="00C316FE"/>
    <w:rsid w:val="00C359A4"/>
    <w:rsid w:val="00C36BD7"/>
    <w:rsid w:val="00C37211"/>
    <w:rsid w:val="00C3755E"/>
    <w:rsid w:val="00C43B94"/>
    <w:rsid w:val="00C44F42"/>
    <w:rsid w:val="00C46AEB"/>
    <w:rsid w:val="00C500B9"/>
    <w:rsid w:val="00C50837"/>
    <w:rsid w:val="00C50E20"/>
    <w:rsid w:val="00C523B6"/>
    <w:rsid w:val="00C56CBD"/>
    <w:rsid w:val="00C5774B"/>
    <w:rsid w:val="00C57A97"/>
    <w:rsid w:val="00C608BA"/>
    <w:rsid w:val="00C63C3C"/>
    <w:rsid w:val="00C63F17"/>
    <w:rsid w:val="00C6407F"/>
    <w:rsid w:val="00C653E2"/>
    <w:rsid w:val="00C6549C"/>
    <w:rsid w:val="00C67F6C"/>
    <w:rsid w:val="00C71C64"/>
    <w:rsid w:val="00C71EA5"/>
    <w:rsid w:val="00C72510"/>
    <w:rsid w:val="00C73EDC"/>
    <w:rsid w:val="00C75F85"/>
    <w:rsid w:val="00C81BAD"/>
    <w:rsid w:val="00C83476"/>
    <w:rsid w:val="00C845AF"/>
    <w:rsid w:val="00C865F0"/>
    <w:rsid w:val="00C95274"/>
    <w:rsid w:val="00C95A81"/>
    <w:rsid w:val="00C96BC1"/>
    <w:rsid w:val="00C9750F"/>
    <w:rsid w:val="00C97D06"/>
    <w:rsid w:val="00CA0381"/>
    <w:rsid w:val="00CA04E3"/>
    <w:rsid w:val="00CA1AB4"/>
    <w:rsid w:val="00CA2441"/>
    <w:rsid w:val="00CA382F"/>
    <w:rsid w:val="00CA4FFF"/>
    <w:rsid w:val="00CB2701"/>
    <w:rsid w:val="00CB2B20"/>
    <w:rsid w:val="00CB3766"/>
    <w:rsid w:val="00CB598B"/>
    <w:rsid w:val="00CB7B9D"/>
    <w:rsid w:val="00CB7EE8"/>
    <w:rsid w:val="00CC0244"/>
    <w:rsid w:val="00CC1CD6"/>
    <w:rsid w:val="00CC28F1"/>
    <w:rsid w:val="00CC442F"/>
    <w:rsid w:val="00CC4510"/>
    <w:rsid w:val="00CC4E58"/>
    <w:rsid w:val="00CC6138"/>
    <w:rsid w:val="00CC6EBA"/>
    <w:rsid w:val="00CC7E59"/>
    <w:rsid w:val="00CD104D"/>
    <w:rsid w:val="00CD1A52"/>
    <w:rsid w:val="00CD1F49"/>
    <w:rsid w:val="00CD4B6D"/>
    <w:rsid w:val="00CD6CC8"/>
    <w:rsid w:val="00CD7EFE"/>
    <w:rsid w:val="00CE0A11"/>
    <w:rsid w:val="00CE1070"/>
    <w:rsid w:val="00CE1930"/>
    <w:rsid w:val="00CE1B21"/>
    <w:rsid w:val="00CE509F"/>
    <w:rsid w:val="00CF0515"/>
    <w:rsid w:val="00CF081E"/>
    <w:rsid w:val="00CF150B"/>
    <w:rsid w:val="00CF1F1F"/>
    <w:rsid w:val="00CF22FF"/>
    <w:rsid w:val="00CF24A8"/>
    <w:rsid w:val="00CF27FC"/>
    <w:rsid w:val="00CF415A"/>
    <w:rsid w:val="00CF4AC8"/>
    <w:rsid w:val="00D009EE"/>
    <w:rsid w:val="00D0615B"/>
    <w:rsid w:val="00D12425"/>
    <w:rsid w:val="00D1372F"/>
    <w:rsid w:val="00D1559B"/>
    <w:rsid w:val="00D16C2C"/>
    <w:rsid w:val="00D17C8F"/>
    <w:rsid w:val="00D22EE8"/>
    <w:rsid w:val="00D23006"/>
    <w:rsid w:val="00D236E3"/>
    <w:rsid w:val="00D23C88"/>
    <w:rsid w:val="00D24004"/>
    <w:rsid w:val="00D255A1"/>
    <w:rsid w:val="00D25E42"/>
    <w:rsid w:val="00D26AAA"/>
    <w:rsid w:val="00D274DF"/>
    <w:rsid w:val="00D41F49"/>
    <w:rsid w:val="00D42869"/>
    <w:rsid w:val="00D45D94"/>
    <w:rsid w:val="00D479AF"/>
    <w:rsid w:val="00D505D6"/>
    <w:rsid w:val="00D50E57"/>
    <w:rsid w:val="00D5109C"/>
    <w:rsid w:val="00D516A6"/>
    <w:rsid w:val="00D51EC0"/>
    <w:rsid w:val="00D53969"/>
    <w:rsid w:val="00D56136"/>
    <w:rsid w:val="00D57729"/>
    <w:rsid w:val="00D57E35"/>
    <w:rsid w:val="00D61B56"/>
    <w:rsid w:val="00D6309F"/>
    <w:rsid w:val="00D644F1"/>
    <w:rsid w:val="00D652CE"/>
    <w:rsid w:val="00D6607F"/>
    <w:rsid w:val="00D663B8"/>
    <w:rsid w:val="00D66AC9"/>
    <w:rsid w:val="00D67C22"/>
    <w:rsid w:val="00D7476E"/>
    <w:rsid w:val="00D75BF5"/>
    <w:rsid w:val="00D76250"/>
    <w:rsid w:val="00D7682E"/>
    <w:rsid w:val="00D8087B"/>
    <w:rsid w:val="00D80D70"/>
    <w:rsid w:val="00D83206"/>
    <w:rsid w:val="00D845A3"/>
    <w:rsid w:val="00D85295"/>
    <w:rsid w:val="00D8534B"/>
    <w:rsid w:val="00D86BD1"/>
    <w:rsid w:val="00D86FC9"/>
    <w:rsid w:val="00D905EF"/>
    <w:rsid w:val="00D92111"/>
    <w:rsid w:val="00D92B12"/>
    <w:rsid w:val="00D93152"/>
    <w:rsid w:val="00D94F37"/>
    <w:rsid w:val="00D95B6F"/>
    <w:rsid w:val="00D9688F"/>
    <w:rsid w:val="00D96EBC"/>
    <w:rsid w:val="00D974F9"/>
    <w:rsid w:val="00D97DE6"/>
    <w:rsid w:val="00DA1B3A"/>
    <w:rsid w:val="00DA2313"/>
    <w:rsid w:val="00DA3078"/>
    <w:rsid w:val="00DA3C11"/>
    <w:rsid w:val="00DA4FD6"/>
    <w:rsid w:val="00DA57A8"/>
    <w:rsid w:val="00DA589D"/>
    <w:rsid w:val="00DA6061"/>
    <w:rsid w:val="00DA643F"/>
    <w:rsid w:val="00DA757D"/>
    <w:rsid w:val="00DB04D8"/>
    <w:rsid w:val="00DB1EA1"/>
    <w:rsid w:val="00DB5850"/>
    <w:rsid w:val="00DB6943"/>
    <w:rsid w:val="00DC109C"/>
    <w:rsid w:val="00DC2787"/>
    <w:rsid w:val="00DC7094"/>
    <w:rsid w:val="00DD174A"/>
    <w:rsid w:val="00DD3040"/>
    <w:rsid w:val="00DD3D6F"/>
    <w:rsid w:val="00DD51AB"/>
    <w:rsid w:val="00DD6CC9"/>
    <w:rsid w:val="00DD6F95"/>
    <w:rsid w:val="00DD7366"/>
    <w:rsid w:val="00DE1B7F"/>
    <w:rsid w:val="00DE3087"/>
    <w:rsid w:val="00DE33B3"/>
    <w:rsid w:val="00DE5F7E"/>
    <w:rsid w:val="00DF483A"/>
    <w:rsid w:val="00DF60B3"/>
    <w:rsid w:val="00DF6D7A"/>
    <w:rsid w:val="00DF7011"/>
    <w:rsid w:val="00E01670"/>
    <w:rsid w:val="00E01CB5"/>
    <w:rsid w:val="00E034A3"/>
    <w:rsid w:val="00E04A79"/>
    <w:rsid w:val="00E068F0"/>
    <w:rsid w:val="00E10CB2"/>
    <w:rsid w:val="00E11FE7"/>
    <w:rsid w:val="00E12794"/>
    <w:rsid w:val="00E14E62"/>
    <w:rsid w:val="00E15E41"/>
    <w:rsid w:val="00E1646B"/>
    <w:rsid w:val="00E22478"/>
    <w:rsid w:val="00E232FA"/>
    <w:rsid w:val="00E23619"/>
    <w:rsid w:val="00E24F80"/>
    <w:rsid w:val="00E25043"/>
    <w:rsid w:val="00E2690D"/>
    <w:rsid w:val="00E27C29"/>
    <w:rsid w:val="00E30D1C"/>
    <w:rsid w:val="00E32BBA"/>
    <w:rsid w:val="00E34E50"/>
    <w:rsid w:val="00E36431"/>
    <w:rsid w:val="00E3722E"/>
    <w:rsid w:val="00E373B2"/>
    <w:rsid w:val="00E41147"/>
    <w:rsid w:val="00E419E9"/>
    <w:rsid w:val="00E41A22"/>
    <w:rsid w:val="00E442E8"/>
    <w:rsid w:val="00E444D1"/>
    <w:rsid w:val="00E4463F"/>
    <w:rsid w:val="00E44E88"/>
    <w:rsid w:val="00E45342"/>
    <w:rsid w:val="00E45E24"/>
    <w:rsid w:val="00E46843"/>
    <w:rsid w:val="00E50C32"/>
    <w:rsid w:val="00E555C6"/>
    <w:rsid w:val="00E55A6B"/>
    <w:rsid w:val="00E55F12"/>
    <w:rsid w:val="00E56666"/>
    <w:rsid w:val="00E56A24"/>
    <w:rsid w:val="00E56D08"/>
    <w:rsid w:val="00E6003E"/>
    <w:rsid w:val="00E6212B"/>
    <w:rsid w:val="00E64643"/>
    <w:rsid w:val="00E64EC1"/>
    <w:rsid w:val="00E66D85"/>
    <w:rsid w:val="00E7149B"/>
    <w:rsid w:val="00E71708"/>
    <w:rsid w:val="00E7263C"/>
    <w:rsid w:val="00E72F34"/>
    <w:rsid w:val="00E74774"/>
    <w:rsid w:val="00E757E2"/>
    <w:rsid w:val="00E762B4"/>
    <w:rsid w:val="00E76957"/>
    <w:rsid w:val="00E76E02"/>
    <w:rsid w:val="00E8089E"/>
    <w:rsid w:val="00E818B5"/>
    <w:rsid w:val="00E82AB5"/>
    <w:rsid w:val="00E83107"/>
    <w:rsid w:val="00E831F8"/>
    <w:rsid w:val="00E83871"/>
    <w:rsid w:val="00E8557D"/>
    <w:rsid w:val="00E86CFD"/>
    <w:rsid w:val="00E90C7F"/>
    <w:rsid w:val="00E9393E"/>
    <w:rsid w:val="00E95773"/>
    <w:rsid w:val="00E95B18"/>
    <w:rsid w:val="00E97905"/>
    <w:rsid w:val="00EA0740"/>
    <w:rsid w:val="00EA6C65"/>
    <w:rsid w:val="00EB2397"/>
    <w:rsid w:val="00EB389A"/>
    <w:rsid w:val="00EB48D6"/>
    <w:rsid w:val="00EB5708"/>
    <w:rsid w:val="00EB62AD"/>
    <w:rsid w:val="00EC3D2C"/>
    <w:rsid w:val="00EC66DA"/>
    <w:rsid w:val="00EC7859"/>
    <w:rsid w:val="00ED0B7C"/>
    <w:rsid w:val="00ED2775"/>
    <w:rsid w:val="00ED3CFE"/>
    <w:rsid w:val="00ED3F77"/>
    <w:rsid w:val="00ED5033"/>
    <w:rsid w:val="00ED50CE"/>
    <w:rsid w:val="00ED5A84"/>
    <w:rsid w:val="00ED6CDE"/>
    <w:rsid w:val="00ED6D48"/>
    <w:rsid w:val="00ED7487"/>
    <w:rsid w:val="00EE0235"/>
    <w:rsid w:val="00EE0E7A"/>
    <w:rsid w:val="00EE2649"/>
    <w:rsid w:val="00EE3572"/>
    <w:rsid w:val="00EE4DEE"/>
    <w:rsid w:val="00EE78B0"/>
    <w:rsid w:val="00EE7B22"/>
    <w:rsid w:val="00EF0562"/>
    <w:rsid w:val="00EF2AE5"/>
    <w:rsid w:val="00EF2E1F"/>
    <w:rsid w:val="00EF3D1A"/>
    <w:rsid w:val="00EF3E34"/>
    <w:rsid w:val="00EF5212"/>
    <w:rsid w:val="00EF61E9"/>
    <w:rsid w:val="00EF7585"/>
    <w:rsid w:val="00EF7E8D"/>
    <w:rsid w:val="00F009B8"/>
    <w:rsid w:val="00F00EB0"/>
    <w:rsid w:val="00F047D7"/>
    <w:rsid w:val="00F0558B"/>
    <w:rsid w:val="00F0606E"/>
    <w:rsid w:val="00F06C0B"/>
    <w:rsid w:val="00F07FB5"/>
    <w:rsid w:val="00F11330"/>
    <w:rsid w:val="00F12678"/>
    <w:rsid w:val="00F12A83"/>
    <w:rsid w:val="00F12D73"/>
    <w:rsid w:val="00F14453"/>
    <w:rsid w:val="00F15EF0"/>
    <w:rsid w:val="00F17FFB"/>
    <w:rsid w:val="00F2033A"/>
    <w:rsid w:val="00F21A79"/>
    <w:rsid w:val="00F24A92"/>
    <w:rsid w:val="00F25B11"/>
    <w:rsid w:val="00F262C0"/>
    <w:rsid w:val="00F26396"/>
    <w:rsid w:val="00F316A5"/>
    <w:rsid w:val="00F33BDF"/>
    <w:rsid w:val="00F34BA0"/>
    <w:rsid w:val="00F34C9C"/>
    <w:rsid w:val="00F358E4"/>
    <w:rsid w:val="00F3616E"/>
    <w:rsid w:val="00F379CE"/>
    <w:rsid w:val="00F37F14"/>
    <w:rsid w:val="00F40BD9"/>
    <w:rsid w:val="00F41EB0"/>
    <w:rsid w:val="00F42E99"/>
    <w:rsid w:val="00F432A2"/>
    <w:rsid w:val="00F43C1B"/>
    <w:rsid w:val="00F43FBD"/>
    <w:rsid w:val="00F45280"/>
    <w:rsid w:val="00F45E0F"/>
    <w:rsid w:val="00F51772"/>
    <w:rsid w:val="00F62457"/>
    <w:rsid w:val="00F64C42"/>
    <w:rsid w:val="00F65925"/>
    <w:rsid w:val="00F67F7A"/>
    <w:rsid w:val="00F705CF"/>
    <w:rsid w:val="00F71A4F"/>
    <w:rsid w:val="00F727D6"/>
    <w:rsid w:val="00F73868"/>
    <w:rsid w:val="00F73EB0"/>
    <w:rsid w:val="00F7661F"/>
    <w:rsid w:val="00F76D4B"/>
    <w:rsid w:val="00F83600"/>
    <w:rsid w:val="00F86563"/>
    <w:rsid w:val="00F87A36"/>
    <w:rsid w:val="00F87B1A"/>
    <w:rsid w:val="00F902EF"/>
    <w:rsid w:val="00F9102F"/>
    <w:rsid w:val="00F9339F"/>
    <w:rsid w:val="00F93872"/>
    <w:rsid w:val="00F963B9"/>
    <w:rsid w:val="00F96866"/>
    <w:rsid w:val="00F9762A"/>
    <w:rsid w:val="00FA398C"/>
    <w:rsid w:val="00FA3DF8"/>
    <w:rsid w:val="00FA3E65"/>
    <w:rsid w:val="00FA4014"/>
    <w:rsid w:val="00FB15A8"/>
    <w:rsid w:val="00FB1FA7"/>
    <w:rsid w:val="00FB534C"/>
    <w:rsid w:val="00FB5DBF"/>
    <w:rsid w:val="00FC3274"/>
    <w:rsid w:val="00FC40E6"/>
    <w:rsid w:val="00FC5E9C"/>
    <w:rsid w:val="00FC7BCE"/>
    <w:rsid w:val="00FD078A"/>
    <w:rsid w:val="00FD0EA3"/>
    <w:rsid w:val="00FD1324"/>
    <w:rsid w:val="00FD34D9"/>
    <w:rsid w:val="00FD42CF"/>
    <w:rsid w:val="00FD49E6"/>
    <w:rsid w:val="00FD54EF"/>
    <w:rsid w:val="00FE1331"/>
    <w:rsid w:val="00FE2153"/>
    <w:rsid w:val="00FE2345"/>
    <w:rsid w:val="00FE2F4D"/>
    <w:rsid w:val="00FE377E"/>
    <w:rsid w:val="00FE5C60"/>
    <w:rsid w:val="00FF1DA5"/>
    <w:rsid w:val="00FF2C6C"/>
    <w:rsid w:val="00FF59EA"/>
    <w:rsid w:val="00FF7216"/>
    <w:rsid w:val="01655B7A"/>
    <w:rsid w:val="049F0808"/>
    <w:rsid w:val="053F5B28"/>
    <w:rsid w:val="05EC4C2E"/>
    <w:rsid w:val="06366134"/>
    <w:rsid w:val="067C43A3"/>
    <w:rsid w:val="06D60951"/>
    <w:rsid w:val="07724B2E"/>
    <w:rsid w:val="07BA1BFB"/>
    <w:rsid w:val="07D95D31"/>
    <w:rsid w:val="08274A57"/>
    <w:rsid w:val="089E785A"/>
    <w:rsid w:val="08DB63D9"/>
    <w:rsid w:val="08F0739E"/>
    <w:rsid w:val="09E9716A"/>
    <w:rsid w:val="0BA85EBD"/>
    <w:rsid w:val="0F631EE7"/>
    <w:rsid w:val="0F8E6AB4"/>
    <w:rsid w:val="0F957960"/>
    <w:rsid w:val="0FF33303"/>
    <w:rsid w:val="10506497"/>
    <w:rsid w:val="10750FC1"/>
    <w:rsid w:val="10AA31F6"/>
    <w:rsid w:val="10E114C7"/>
    <w:rsid w:val="118D3FAB"/>
    <w:rsid w:val="1234188E"/>
    <w:rsid w:val="13F0779C"/>
    <w:rsid w:val="141F2C39"/>
    <w:rsid w:val="15C17880"/>
    <w:rsid w:val="15F05DEC"/>
    <w:rsid w:val="17941E76"/>
    <w:rsid w:val="184F3D6C"/>
    <w:rsid w:val="18712548"/>
    <w:rsid w:val="195E793F"/>
    <w:rsid w:val="198E37BC"/>
    <w:rsid w:val="1B947F74"/>
    <w:rsid w:val="1D694637"/>
    <w:rsid w:val="1FF05575"/>
    <w:rsid w:val="20847340"/>
    <w:rsid w:val="213117E9"/>
    <w:rsid w:val="215943BB"/>
    <w:rsid w:val="218421AD"/>
    <w:rsid w:val="21BA53E5"/>
    <w:rsid w:val="21F92F3E"/>
    <w:rsid w:val="22547A21"/>
    <w:rsid w:val="24141AD9"/>
    <w:rsid w:val="24844614"/>
    <w:rsid w:val="24B63F00"/>
    <w:rsid w:val="2555224D"/>
    <w:rsid w:val="255B1615"/>
    <w:rsid w:val="26146B18"/>
    <w:rsid w:val="26172B74"/>
    <w:rsid w:val="26860D51"/>
    <w:rsid w:val="26A361E4"/>
    <w:rsid w:val="27E91A2C"/>
    <w:rsid w:val="28967329"/>
    <w:rsid w:val="28B24FB4"/>
    <w:rsid w:val="28C4687D"/>
    <w:rsid w:val="28E6588D"/>
    <w:rsid w:val="28F52DEC"/>
    <w:rsid w:val="29AB62B2"/>
    <w:rsid w:val="29C85B56"/>
    <w:rsid w:val="2AF66BBE"/>
    <w:rsid w:val="2C9D29C6"/>
    <w:rsid w:val="2CA35392"/>
    <w:rsid w:val="2CB95EEE"/>
    <w:rsid w:val="2CC35D37"/>
    <w:rsid w:val="2E461A71"/>
    <w:rsid w:val="2E6F2D00"/>
    <w:rsid w:val="2F4A62AF"/>
    <w:rsid w:val="2F5C2B1B"/>
    <w:rsid w:val="303623D2"/>
    <w:rsid w:val="30441F13"/>
    <w:rsid w:val="30490E8A"/>
    <w:rsid w:val="31591EE3"/>
    <w:rsid w:val="316C64A1"/>
    <w:rsid w:val="31E54A36"/>
    <w:rsid w:val="330E4461"/>
    <w:rsid w:val="33942059"/>
    <w:rsid w:val="33C57F0C"/>
    <w:rsid w:val="341A452E"/>
    <w:rsid w:val="34B665FB"/>
    <w:rsid w:val="3541115B"/>
    <w:rsid w:val="35BC00AA"/>
    <w:rsid w:val="35EB75DF"/>
    <w:rsid w:val="36C00484"/>
    <w:rsid w:val="37BE4C03"/>
    <w:rsid w:val="38322D8E"/>
    <w:rsid w:val="387C7DFD"/>
    <w:rsid w:val="38884598"/>
    <w:rsid w:val="3A373923"/>
    <w:rsid w:val="3AB045CE"/>
    <w:rsid w:val="3ABF26C1"/>
    <w:rsid w:val="3BCD02C7"/>
    <w:rsid w:val="3BFC07DC"/>
    <w:rsid w:val="3C140B5C"/>
    <w:rsid w:val="3C19661A"/>
    <w:rsid w:val="3D8273D3"/>
    <w:rsid w:val="3D9E3CE9"/>
    <w:rsid w:val="3DA70608"/>
    <w:rsid w:val="3E812ABE"/>
    <w:rsid w:val="3EBB77DC"/>
    <w:rsid w:val="3EF75AA6"/>
    <w:rsid w:val="40211F81"/>
    <w:rsid w:val="41DD7E16"/>
    <w:rsid w:val="42053738"/>
    <w:rsid w:val="420E1C71"/>
    <w:rsid w:val="43303760"/>
    <w:rsid w:val="437B24FA"/>
    <w:rsid w:val="440F0F6B"/>
    <w:rsid w:val="457E404D"/>
    <w:rsid w:val="45A35C43"/>
    <w:rsid w:val="467B56D6"/>
    <w:rsid w:val="46BF6B62"/>
    <w:rsid w:val="470115A9"/>
    <w:rsid w:val="47361C65"/>
    <w:rsid w:val="47B3103F"/>
    <w:rsid w:val="4920547F"/>
    <w:rsid w:val="496163AA"/>
    <w:rsid w:val="4B2D644A"/>
    <w:rsid w:val="4BDE4909"/>
    <w:rsid w:val="4CA20DC8"/>
    <w:rsid w:val="4CAA0B2F"/>
    <w:rsid w:val="4DB4431D"/>
    <w:rsid w:val="4EC0302A"/>
    <w:rsid w:val="50964958"/>
    <w:rsid w:val="50BE6531"/>
    <w:rsid w:val="53DA2100"/>
    <w:rsid w:val="53F8312C"/>
    <w:rsid w:val="540F051D"/>
    <w:rsid w:val="548B33B5"/>
    <w:rsid w:val="54BD2C8B"/>
    <w:rsid w:val="57073D4E"/>
    <w:rsid w:val="5742125A"/>
    <w:rsid w:val="58971F13"/>
    <w:rsid w:val="597E1038"/>
    <w:rsid w:val="597E48BB"/>
    <w:rsid w:val="5984186C"/>
    <w:rsid w:val="5A0B3AC2"/>
    <w:rsid w:val="5AB3130A"/>
    <w:rsid w:val="5B0657EA"/>
    <w:rsid w:val="5B9620DF"/>
    <w:rsid w:val="5C7A5EC0"/>
    <w:rsid w:val="5C890E5B"/>
    <w:rsid w:val="5CFE005C"/>
    <w:rsid w:val="5E807228"/>
    <w:rsid w:val="5F1F2588"/>
    <w:rsid w:val="5F72615C"/>
    <w:rsid w:val="5F894575"/>
    <w:rsid w:val="604329E0"/>
    <w:rsid w:val="61134A5C"/>
    <w:rsid w:val="61AE12ED"/>
    <w:rsid w:val="61DF56BF"/>
    <w:rsid w:val="622D31D4"/>
    <w:rsid w:val="62D51234"/>
    <w:rsid w:val="63292B89"/>
    <w:rsid w:val="64143792"/>
    <w:rsid w:val="65195F7C"/>
    <w:rsid w:val="666B7289"/>
    <w:rsid w:val="671F3F18"/>
    <w:rsid w:val="67332F43"/>
    <w:rsid w:val="67563B19"/>
    <w:rsid w:val="67B24232"/>
    <w:rsid w:val="68170ED1"/>
    <w:rsid w:val="68D714CC"/>
    <w:rsid w:val="697E590F"/>
    <w:rsid w:val="6A9207C1"/>
    <w:rsid w:val="6B0576B7"/>
    <w:rsid w:val="6B57088F"/>
    <w:rsid w:val="6B6F2343"/>
    <w:rsid w:val="6EA12898"/>
    <w:rsid w:val="6EC93246"/>
    <w:rsid w:val="6F4B3B19"/>
    <w:rsid w:val="71A30ED3"/>
    <w:rsid w:val="72216372"/>
    <w:rsid w:val="725003D2"/>
    <w:rsid w:val="72E01163"/>
    <w:rsid w:val="743F55B1"/>
    <w:rsid w:val="74B754C9"/>
    <w:rsid w:val="756A7E24"/>
    <w:rsid w:val="75872696"/>
    <w:rsid w:val="75F83769"/>
    <w:rsid w:val="76CF501B"/>
    <w:rsid w:val="770F5EDA"/>
    <w:rsid w:val="778E1A8B"/>
    <w:rsid w:val="77BA64EE"/>
    <w:rsid w:val="785F6368"/>
    <w:rsid w:val="789C46D0"/>
    <w:rsid w:val="78B44BCA"/>
    <w:rsid w:val="79C33CEA"/>
    <w:rsid w:val="79FA6C22"/>
    <w:rsid w:val="7AA413FE"/>
    <w:rsid w:val="7B193246"/>
    <w:rsid w:val="7BF3642D"/>
    <w:rsid w:val="7DA24695"/>
    <w:rsid w:val="7DD40AD4"/>
    <w:rsid w:val="7DEA1927"/>
    <w:rsid w:val="7E7F6B52"/>
    <w:rsid w:val="7F80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4"/>
    <w:qFormat/>
    <w:uiPriority w:val="9"/>
    <w:pPr>
      <w:keepNext/>
      <w:keepLines/>
      <w:spacing w:before="340" w:after="330" w:line="578" w:lineRule="auto"/>
      <w:jc w:val="center"/>
      <w:outlineLvl w:val="0"/>
    </w:pPr>
    <w:rPr>
      <w:rFonts w:eastAsiaTheme="majorEastAsia"/>
      <w:b/>
      <w:bCs/>
      <w:kern w:val="44"/>
      <w:sz w:val="44"/>
      <w:szCs w:val="44"/>
    </w:rPr>
  </w:style>
  <w:style w:type="paragraph" w:styleId="3">
    <w:name w:val="heading 2"/>
    <w:basedOn w:val="1"/>
    <w:next w:val="1"/>
    <w:link w:val="26"/>
    <w:unhideWhenUsed/>
    <w:qFormat/>
    <w:uiPriority w:val="0"/>
    <w:pPr>
      <w:keepNext/>
      <w:keepLines/>
      <w:spacing w:before="260" w:after="260" w:line="415" w:lineRule="auto"/>
      <w:outlineLvl w:val="1"/>
    </w:pPr>
    <w:rPr>
      <w:rFonts w:asciiTheme="majorHAnsi" w:hAnsiTheme="majorHAnsi" w:eastAsiaTheme="majorEastAsia" w:cstheme="majorBidi"/>
      <w:b/>
      <w:bCs/>
      <w:sz w:val="32"/>
      <w:szCs w:val="32"/>
    </w:rPr>
  </w:style>
  <w:style w:type="paragraph" w:styleId="4">
    <w:name w:val="heading 3"/>
    <w:basedOn w:val="1"/>
    <w:next w:val="1"/>
    <w:link w:val="30"/>
    <w:unhideWhenUsed/>
    <w:qFormat/>
    <w:uiPriority w:val="9"/>
    <w:pPr>
      <w:keepNext/>
      <w:keepLines/>
      <w:spacing w:before="260" w:after="260" w:line="415" w:lineRule="auto"/>
      <w:outlineLvl w:val="2"/>
    </w:pPr>
    <w:rPr>
      <w:rFonts w:eastAsiaTheme="majorEastAsia"/>
      <w:b/>
      <w:bCs/>
      <w:sz w:val="30"/>
      <w:szCs w:val="32"/>
    </w:rPr>
  </w:style>
  <w:style w:type="paragraph" w:styleId="5">
    <w:name w:val="heading 4"/>
    <w:basedOn w:val="1"/>
    <w:next w:val="1"/>
    <w:link w:val="33"/>
    <w:unhideWhenUsed/>
    <w:qFormat/>
    <w:uiPriority w:val="9"/>
    <w:pPr>
      <w:keepNext/>
      <w:keepLines/>
      <w:spacing w:before="50" w:beforeLines="50" w:after="50" w:afterLines="50" w:line="377" w:lineRule="auto"/>
      <w:outlineLvl w:val="3"/>
    </w:pPr>
    <w:rPr>
      <w:rFonts w:asciiTheme="majorHAnsi" w:hAnsiTheme="majorHAnsi" w:eastAsiaTheme="majorEastAsia" w:cstheme="majorBidi"/>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5"/>
    <w:semiHidden/>
    <w:unhideWhenUsed/>
    <w:qFormat/>
    <w:uiPriority w:val="99"/>
    <w:pPr>
      <w:spacing w:line="360" w:lineRule="auto"/>
      <w:ind w:firstLine="560" w:firstLineChars="200"/>
    </w:pPr>
    <w:rPr>
      <w:rFonts w:ascii="宋体"/>
    </w:rPr>
  </w:style>
  <w:style w:type="paragraph" w:styleId="7">
    <w:name w:val="annotation text"/>
    <w:basedOn w:val="1"/>
    <w:link w:val="37"/>
    <w:semiHidden/>
    <w:unhideWhenUsed/>
    <w:qFormat/>
    <w:uiPriority w:val="99"/>
  </w:style>
  <w:style w:type="paragraph" w:styleId="8">
    <w:name w:val="toc 3"/>
    <w:basedOn w:val="1"/>
    <w:next w:val="1"/>
    <w:qFormat/>
    <w:uiPriority w:val="39"/>
    <w:pPr>
      <w:spacing w:line="360" w:lineRule="auto"/>
      <w:ind w:left="840" w:leftChars="400" w:firstLine="560" w:firstLineChars="200"/>
    </w:pPr>
    <w:rPr>
      <w:rFonts w:eastAsia="仿宋"/>
      <w:sz w:val="28"/>
    </w:rPr>
  </w:style>
  <w:style w:type="paragraph" w:styleId="9">
    <w:name w:val="Balloon Text"/>
    <w:basedOn w:val="1"/>
    <w:link w:val="34"/>
    <w:unhideWhenUsed/>
    <w:qFormat/>
    <w:uiPriority w:val="99"/>
    <w:pPr>
      <w:ind w:firstLine="560" w:firstLineChars="200"/>
    </w:pPr>
    <w:rPr>
      <w:rFonts w:eastAsia="仿宋"/>
      <w:sz w:val="18"/>
      <w:szCs w:val="18"/>
    </w:rPr>
  </w:style>
  <w:style w:type="paragraph" w:styleId="10">
    <w:name w:val="footer"/>
    <w:basedOn w:val="1"/>
    <w:link w:val="28"/>
    <w:unhideWhenUsed/>
    <w:qFormat/>
    <w:uiPriority w:val="99"/>
    <w:pPr>
      <w:tabs>
        <w:tab w:val="center" w:pos="4153"/>
        <w:tab w:val="right" w:pos="8306"/>
      </w:tabs>
      <w:snapToGrid w:val="0"/>
      <w:spacing w:line="360" w:lineRule="auto"/>
      <w:ind w:firstLine="560" w:firstLineChars="200"/>
    </w:pPr>
    <w:rPr>
      <w:rFonts w:eastAsia="仿宋"/>
      <w:sz w:val="18"/>
      <w:szCs w:val="18"/>
    </w:rPr>
  </w:style>
  <w:style w:type="paragraph" w:styleId="11">
    <w:name w:val="header"/>
    <w:basedOn w:val="1"/>
    <w:link w:val="27"/>
    <w:unhideWhenUsed/>
    <w:qFormat/>
    <w:uiPriority w:val="99"/>
    <w:pPr>
      <w:pBdr>
        <w:bottom w:val="single" w:color="auto" w:sz="6" w:space="1"/>
      </w:pBdr>
      <w:tabs>
        <w:tab w:val="center" w:pos="4153"/>
        <w:tab w:val="right" w:pos="8306"/>
      </w:tabs>
      <w:snapToGrid w:val="0"/>
      <w:spacing w:line="360" w:lineRule="auto"/>
      <w:ind w:firstLine="560" w:firstLineChars="200"/>
      <w:jc w:val="center"/>
    </w:pPr>
    <w:rPr>
      <w:rFonts w:eastAsia="仿宋"/>
      <w:sz w:val="18"/>
      <w:szCs w:val="18"/>
    </w:rPr>
  </w:style>
  <w:style w:type="paragraph" w:styleId="12">
    <w:name w:val="toc 1"/>
    <w:basedOn w:val="1"/>
    <w:next w:val="1"/>
    <w:unhideWhenUsed/>
    <w:qFormat/>
    <w:uiPriority w:val="39"/>
    <w:pPr>
      <w:spacing w:line="360" w:lineRule="auto"/>
      <w:ind w:firstLine="560" w:firstLineChars="200"/>
    </w:pPr>
    <w:rPr>
      <w:rFonts w:eastAsia="仿宋"/>
      <w:kern w:val="21"/>
      <w:sz w:val="28"/>
    </w:rPr>
  </w:style>
  <w:style w:type="paragraph" w:styleId="13">
    <w:name w:val="Subtitle"/>
    <w:basedOn w:val="1"/>
    <w:next w:val="1"/>
    <w:qFormat/>
    <w:uiPriority w:val="11"/>
    <w:pPr>
      <w:spacing w:before="300" w:after="60" w:line="240" w:lineRule="exact"/>
      <w:outlineLvl w:val="2"/>
    </w:pPr>
    <w:rPr>
      <w:rFonts w:ascii="Calibri Light" w:hAnsi="Calibri Light"/>
      <w:b/>
      <w:bCs/>
      <w:kern w:val="28"/>
      <w:sz w:val="30"/>
      <w:szCs w:val="32"/>
    </w:rPr>
  </w:style>
  <w:style w:type="paragraph" w:styleId="14">
    <w:name w:val="toc 2"/>
    <w:basedOn w:val="1"/>
    <w:next w:val="1"/>
    <w:unhideWhenUsed/>
    <w:qFormat/>
    <w:uiPriority w:val="39"/>
    <w:pPr>
      <w:spacing w:line="360" w:lineRule="auto"/>
      <w:ind w:left="420" w:leftChars="200" w:firstLine="560" w:firstLineChars="200"/>
    </w:pPr>
    <w:rPr>
      <w:rFonts w:eastAsia="仿宋"/>
      <w:kern w:val="21"/>
      <w:sz w:val="28"/>
    </w:rPr>
  </w:style>
  <w:style w:type="paragraph" w:styleId="15">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0" w:firstLineChars="200"/>
    </w:pPr>
    <w:rPr>
      <w:rFonts w:ascii="宋体" w:hAnsi="宋体" w:eastAsia="仿宋" w:cs="宋体"/>
    </w:rPr>
  </w:style>
  <w:style w:type="paragraph" w:styleId="16">
    <w:name w:val="Normal (Web)"/>
    <w:basedOn w:val="1"/>
    <w:unhideWhenUsed/>
    <w:qFormat/>
    <w:uiPriority w:val="99"/>
    <w:pPr>
      <w:spacing w:before="100" w:beforeAutospacing="1" w:after="100" w:afterAutospacing="1" w:line="360" w:lineRule="auto"/>
      <w:ind w:firstLine="560" w:firstLineChars="200"/>
    </w:pPr>
    <w:rPr>
      <w:rFonts w:ascii="宋体" w:hAnsi="宋体" w:eastAsia="仿宋" w:cs="宋体"/>
      <w:sz w:val="28"/>
    </w:rPr>
  </w:style>
  <w:style w:type="paragraph" w:styleId="17">
    <w:name w:val="Title"/>
    <w:basedOn w:val="1"/>
    <w:next w:val="1"/>
    <w:link w:val="25"/>
    <w:qFormat/>
    <w:uiPriority w:val="0"/>
    <w:pPr>
      <w:spacing w:before="340" w:after="200" w:line="360" w:lineRule="auto"/>
      <w:jc w:val="center"/>
      <w:outlineLvl w:val="0"/>
    </w:pPr>
    <w:rPr>
      <w:rFonts w:ascii="Arial" w:hAnsi="Arial"/>
      <w:b/>
      <w:sz w:val="36"/>
    </w:rPr>
  </w:style>
  <w:style w:type="paragraph" w:styleId="18">
    <w:name w:val="annotation subject"/>
    <w:basedOn w:val="7"/>
    <w:next w:val="7"/>
    <w:link w:val="38"/>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unhideWhenUsed/>
    <w:qFormat/>
    <w:uiPriority w:val="99"/>
    <w:rPr>
      <w:color w:val="0563C1"/>
      <w:u w:val="single"/>
    </w:rPr>
  </w:style>
  <w:style w:type="character" w:styleId="23">
    <w:name w:val="annotation reference"/>
    <w:basedOn w:val="21"/>
    <w:semiHidden/>
    <w:unhideWhenUsed/>
    <w:qFormat/>
    <w:uiPriority w:val="99"/>
    <w:rPr>
      <w:sz w:val="21"/>
      <w:szCs w:val="21"/>
    </w:rPr>
  </w:style>
  <w:style w:type="character" w:customStyle="1" w:styleId="24">
    <w:name w:val="标题 1 字符"/>
    <w:link w:val="2"/>
    <w:qFormat/>
    <w:uiPriority w:val="9"/>
    <w:rPr>
      <w:rFonts w:eastAsiaTheme="majorEastAsia"/>
      <w:b/>
      <w:bCs/>
      <w:kern w:val="44"/>
      <w:sz w:val="44"/>
      <w:szCs w:val="44"/>
    </w:rPr>
  </w:style>
  <w:style w:type="character" w:customStyle="1" w:styleId="25">
    <w:name w:val="标题 字符"/>
    <w:basedOn w:val="21"/>
    <w:link w:val="17"/>
    <w:qFormat/>
    <w:uiPriority w:val="0"/>
    <w:rPr>
      <w:rFonts w:ascii="Arial" w:hAnsi="Arial"/>
      <w:b/>
      <w:sz w:val="36"/>
      <w:szCs w:val="24"/>
    </w:rPr>
  </w:style>
  <w:style w:type="character" w:customStyle="1" w:styleId="26">
    <w:name w:val="标题 2 字符"/>
    <w:basedOn w:val="21"/>
    <w:link w:val="3"/>
    <w:qFormat/>
    <w:uiPriority w:val="0"/>
    <w:rPr>
      <w:rFonts w:asciiTheme="majorHAnsi" w:hAnsiTheme="majorHAnsi" w:eastAsiaTheme="majorEastAsia" w:cstheme="majorBidi"/>
      <w:b/>
      <w:bCs/>
      <w:sz w:val="32"/>
      <w:szCs w:val="32"/>
    </w:rPr>
  </w:style>
  <w:style w:type="character" w:customStyle="1" w:styleId="27">
    <w:name w:val="页眉 字符"/>
    <w:basedOn w:val="21"/>
    <w:link w:val="11"/>
    <w:qFormat/>
    <w:uiPriority w:val="99"/>
    <w:rPr>
      <w:rFonts w:ascii="Calibri" w:hAnsi="Calibri" w:eastAsia="仿宋" w:cs="黑体"/>
      <w:sz w:val="18"/>
      <w:szCs w:val="18"/>
    </w:rPr>
  </w:style>
  <w:style w:type="character" w:customStyle="1" w:styleId="28">
    <w:name w:val="页脚 字符"/>
    <w:basedOn w:val="21"/>
    <w:link w:val="10"/>
    <w:qFormat/>
    <w:uiPriority w:val="99"/>
    <w:rPr>
      <w:rFonts w:ascii="Calibri" w:hAnsi="Calibri" w:eastAsia="仿宋" w:cs="黑体"/>
      <w:sz w:val="18"/>
      <w:szCs w:val="18"/>
    </w:rPr>
  </w:style>
  <w:style w:type="paragraph" w:customStyle="1" w:styleId="29">
    <w:name w:val="列出段落1"/>
    <w:basedOn w:val="1"/>
    <w:qFormat/>
    <w:uiPriority w:val="34"/>
    <w:pPr>
      <w:spacing w:line="360" w:lineRule="auto"/>
      <w:ind w:firstLine="420" w:firstLineChars="200"/>
    </w:pPr>
    <w:rPr>
      <w:rFonts w:eastAsia="仿宋"/>
      <w:sz w:val="28"/>
    </w:rPr>
  </w:style>
  <w:style w:type="character" w:customStyle="1" w:styleId="30">
    <w:name w:val="标题 3 字符"/>
    <w:basedOn w:val="21"/>
    <w:link w:val="4"/>
    <w:qFormat/>
    <w:uiPriority w:val="9"/>
    <w:rPr>
      <w:rFonts w:eastAsiaTheme="majorEastAsia"/>
      <w:b/>
      <w:bCs/>
      <w:sz w:val="30"/>
      <w:szCs w:val="32"/>
    </w:rPr>
  </w:style>
  <w:style w:type="paragraph" w:customStyle="1" w:styleId="31">
    <w:name w:val="_Style 2"/>
    <w:basedOn w:val="2"/>
    <w:next w:val="1"/>
    <w:unhideWhenUsed/>
    <w:qFormat/>
    <w:uiPriority w:val="39"/>
    <w:pPr>
      <w:spacing w:before="240" w:after="0" w:line="259" w:lineRule="auto"/>
      <w:outlineLvl w:val="9"/>
    </w:pPr>
    <w:rPr>
      <w:rFonts w:ascii="Calibri Light" w:hAnsi="Calibri Light" w:eastAsia="宋体"/>
      <w:b w:val="0"/>
      <w:bCs w:val="0"/>
      <w:color w:val="2E74B5"/>
      <w:kern w:val="0"/>
      <w:szCs w:val="32"/>
    </w:rPr>
  </w:style>
  <w:style w:type="paragraph" w:customStyle="1" w:styleId="32">
    <w:name w:val="TOC 标题1"/>
    <w:basedOn w:val="2"/>
    <w:next w:val="1"/>
    <w:unhideWhenUsed/>
    <w:qFormat/>
    <w:uiPriority w:val="39"/>
    <w:pPr>
      <w:spacing w:before="240" w:after="0" w:line="259" w:lineRule="auto"/>
      <w:outlineLvl w:val="9"/>
    </w:pPr>
    <w:rPr>
      <w:rFonts w:asciiTheme="majorHAnsi" w:hAnsiTheme="majorHAnsi" w:cstheme="majorBidi"/>
      <w:b w:val="0"/>
      <w:bCs w:val="0"/>
      <w:color w:val="2E75B6" w:themeColor="accent1" w:themeShade="BF"/>
      <w:kern w:val="0"/>
      <w:szCs w:val="32"/>
    </w:rPr>
  </w:style>
  <w:style w:type="character" w:customStyle="1" w:styleId="33">
    <w:name w:val="标题 4 字符"/>
    <w:basedOn w:val="21"/>
    <w:link w:val="5"/>
    <w:qFormat/>
    <w:uiPriority w:val="9"/>
    <w:rPr>
      <w:rFonts w:asciiTheme="majorHAnsi" w:hAnsiTheme="majorHAnsi" w:eastAsiaTheme="majorEastAsia" w:cstheme="majorBidi"/>
      <w:b/>
      <w:bCs/>
      <w:sz w:val="28"/>
      <w:szCs w:val="28"/>
    </w:rPr>
  </w:style>
  <w:style w:type="character" w:customStyle="1" w:styleId="34">
    <w:name w:val="批注框文本 字符"/>
    <w:basedOn w:val="21"/>
    <w:link w:val="9"/>
    <w:semiHidden/>
    <w:qFormat/>
    <w:uiPriority w:val="99"/>
    <w:rPr>
      <w:rFonts w:eastAsia="仿宋"/>
      <w:sz w:val="18"/>
      <w:szCs w:val="18"/>
    </w:rPr>
  </w:style>
  <w:style w:type="character" w:customStyle="1" w:styleId="35">
    <w:name w:val="文档结构图 字符"/>
    <w:basedOn w:val="21"/>
    <w:link w:val="6"/>
    <w:semiHidden/>
    <w:uiPriority w:val="99"/>
    <w:rPr>
      <w:rFonts w:ascii="宋体"/>
      <w:sz w:val="24"/>
      <w:szCs w:val="24"/>
    </w:rPr>
  </w:style>
  <w:style w:type="paragraph" w:styleId="36">
    <w:name w:val="List Paragraph"/>
    <w:basedOn w:val="1"/>
    <w:uiPriority w:val="99"/>
    <w:pPr>
      <w:ind w:firstLine="420" w:firstLineChars="200"/>
    </w:pPr>
  </w:style>
  <w:style w:type="character" w:customStyle="1" w:styleId="37">
    <w:name w:val="批注文字 字符"/>
    <w:basedOn w:val="21"/>
    <w:link w:val="7"/>
    <w:semiHidden/>
    <w:qFormat/>
    <w:uiPriority w:val="99"/>
    <w:rPr>
      <w:sz w:val="24"/>
      <w:szCs w:val="24"/>
    </w:rPr>
  </w:style>
  <w:style w:type="character" w:customStyle="1" w:styleId="38">
    <w:name w:val="批注主题 字符"/>
    <w:basedOn w:val="37"/>
    <w:link w:val="18"/>
    <w:semiHidden/>
    <w:uiPriority w:val="99"/>
    <w:rPr>
      <w:b/>
      <w:bCs/>
      <w:sz w:val="24"/>
      <w:szCs w:val="24"/>
    </w:rPr>
  </w:style>
  <w:style w:type="paragraph" w:customStyle="1" w:styleId="39">
    <w:name w:val="Revision"/>
    <w:hidden/>
    <w:semiHidden/>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7BF6D0-1AA5-41B7-B8FE-23A93552CF32}">
  <ds:schemaRefs/>
</ds:datastoreItem>
</file>

<file path=docProps/app.xml><?xml version="1.0" encoding="utf-8"?>
<Properties xmlns="http://schemas.openxmlformats.org/officeDocument/2006/extended-properties" xmlns:vt="http://schemas.openxmlformats.org/officeDocument/2006/docPropsVTypes">
  <Template>Normal</Template>
  <Pages>11</Pages>
  <Words>890</Words>
  <Characters>5077</Characters>
  <Lines>42</Lines>
  <Paragraphs>11</Paragraphs>
  <TotalTime>0</TotalTime>
  <ScaleCrop>false</ScaleCrop>
  <LinksUpToDate>false</LinksUpToDate>
  <CharactersWithSpaces>5956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2016-04-13T06:47:00Z</dcterms:created>
  <dc:creator>郭伟</dc:creator>
  <cp:lastModifiedBy>姚</cp:lastModifiedBy>
  <dcterms:modified xsi:type="dcterms:W3CDTF">2022-05-13T07:31:00Z</dcterms:modified>
  <cp:revision>1501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